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600" w:lineRule="exact"/>
        <w:rPr>
          <w:rFonts w:ascii="黑体" w:hAnsi="黑体" w:eastAsia="黑体"/>
          <w:szCs w:val="32"/>
        </w:rPr>
      </w:pPr>
      <w:r>
        <w:rPr>
          <w:rFonts w:hint="eastAsia" w:ascii="黑体" w:hAnsi="黑体" w:eastAsia="黑体"/>
          <w:szCs w:val="32"/>
        </w:rPr>
        <w:t>附件2</w:t>
      </w:r>
    </w:p>
    <w:p>
      <w:pPr>
        <w:wordWrap w:val="0"/>
        <w:spacing w:line="600" w:lineRule="exact"/>
        <w:rPr>
          <w:rFonts w:ascii="方正小标宋简体" w:hAnsi="黑体" w:eastAsia="方正小标宋简体"/>
          <w:sz w:val="44"/>
          <w:szCs w:val="44"/>
        </w:rPr>
      </w:pPr>
    </w:p>
    <w:p>
      <w:pPr>
        <w:wordWrap w:val="0"/>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陕西省石油天然气开采业重大生产安全</w:t>
      </w:r>
    </w:p>
    <w:p>
      <w:pPr>
        <w:wordWrap w:val="0"/>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事故隐患判定标准（试行）条文解读</w:t>
      </w:r>
    </w:p>
    <w:p>
      <w:pPr>
        <w:wordWrap w:val="0"/>
        <w:spacing w:line="600" w:lineRule="exact"/>
        <w:ind w:firstLine="624" w:firstLineChars="200"/>
        <w:rPr>
          <w:rFonts w:ascii="仿宋" w:hAnsi="仿宋"/>
          <w:szCs w:val="32"/>
        </w:rPr>
      </w:pPr>
    </w:p>
    <w:p>
      <w:pPr>
        <w:wordWrap w:val="0"/>
        <w:ind w:firstLine="624" w:firstLineChars="200"/>
        <w:rPr>
          <w:rFonts w:ascii="黑体" w:hAnsi="黑体" w:eastAsia="黑体" w:cs="Arial"/>
          <w:szCs w:val="32"/>
          <w:shd w:val="clear" w:color="auto" w:fill="FFFFFF"/>
        </w:rPr>
      </w:pPr>
      <w:r>
        <w:rPr>
          <w:rFonts w:hint="eastAsia" w:ascii="黑体" w:hAnsi="黑体" w:eastAsia="黑体" w:cs="Arial"/>
          <w:szCs w:val="32"/>
          <w:shd w:val="clear" w:color="auto" w:fill="FFFFFF"/>
        </w:rPr>
        <w:t>一、未按规定取得安全生产行政许可，进行生产经营活动</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《安全生产许可证条例》（中华人民共和国国务院令第397号）第二条规定：“</w:t>
      </w:r>
      <w:r>
        <w:rPr>
          <w:rFonts w:ascii="仿宋" w:hAnsi="仿宋" w:cs="Arial"/>
          <w:szCs w:val="32"/>
          <w:shd w:val="clear" w:color="auto" w:fill="FFFFFF"/>
        </w:rPr>
        <w:t>国家对矿山企业、建筑施工企业和危险化学品、烟花爆竹、民用爆炸物品生产企业（以下统称企业）实行安全生产许可制度。企业未取得安全生产许可证的，不得从事生产活动</w:t>
      </w:r>
      <w:r>
        <w:rPr>
          <w:rFonts w:hint="eastAsia" w:ascii="仿宋" w:hAnsi="仿宋" w:cs="Arial"/>
          <w:szCs w:val="32"/>
          <w:shd w:val="clear" w:color="auto" w:fill="FFFFFF"/>
        </w:rPr>
        <w:t>”，第九条规定：“安全生产许可证的有效期为3年。安全生产许可证有效期满需要延期的，企业应当于期满前3个月向原安全生产许可证颁发管理机关办理延期手续”。《非煤矿矿山企业安全生产许可证实施办法》（国家安全生产监督管理总局令第2</w:t>
      </w:r>
      <w:r>
        <w:rPr>
          <w:rFonts w:ascii="仿宋" w:hAnsi="仿宋" w:cs="Arial"/>
          <w:szCs w:val="32"/>
          <w:shd w:val="clear" w:color="auto" w:fill="FFFFFF"/>
        </w:rPr>
        <w:t>0</w:t>
      </w:r>
      <w:r>
        <w:rPr>
          <w:rFonts w:hint="eastAsia" w:ascii="仿宋" w:hAnsi="仿宋" w:cs="Arial"/>
          <w:szCs w:val="32"/>
          <w:shd w:val="clear" w:color="auto" w:fill="FFFFFF"/>
        </w:rPr>
        <w:t>号）第二条规定：“非煤矿矿山企业必须依照本实施办法的规定取得安全生产许可证。未取得安全生产许可证的，不得从事生产活动”。</w:t>
      </w:r>
    </w:p>
    <w:p>
      <w:pPr>
        <w:wordWrap w:val="0"/>
        <w:ind w:firstLine="624" w:firstLineChars="200"/>
        <w:rPr>
          <w:rFonts w:ascii="黑体" w:hAnsi="黑体" w:eastAsia="黑体" w:cs="Arial"/>
          <w:szCs w:val="32"/>
          <w:shd w:val="clear" w:color="auto" w:fill="FFFFFF"/>
        </w:rPr>
      </w:pPr>
      <w:r>
        <w:rPr>
          <w:rFonts w:hint="eastAsia" w:ascii="黑体" w:hAnsi="黑体" w:eastAsia="黑体" w:cs="Arial"/>
          <w:szCs w:val="32"/>
          <w:shd w:val="clear" w:color="auto" w:fill="FFFFFF"/>
        </w:rPr>
        <w:t>二、石油天然气开采企业作为发包单位，使用无资质、超资质等级或者范围、借（盗）用资质的承包单位，或者未开展承包单位作业安全准入评估、考核</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《非煤矿山外包工程安全管理暂行办法》（国家安全生产监督管理总局令第6</w:t>
      </w:r>
      <w:r>
        <w:rPr>
          <w:rFonts w:ascii="仿宋" w:hAnsi="仿宋" w:cs="Arial"/>
          <w:szCs w:val="32"/>
          <w:shd w:val="clear" w:color="auto" w:fill="FFFFFF"/>
        </w:rPr>
        <w:t>2</w:t>
      </w:r>
      <w:r>
        <w:rPr>
          <w:rFonts w:hint="eastAsia" w:ascii="仿宋" w:hAnsi="仿宋" w:cs="Arial"/>
          <w:szCs w:val="32"/>
          <w:shd w:val="clear" w:color="auto" w:fill="FFFFFF"/>
        </w:rPr>
        <w:t>号）第七条规定：“发包单位应当审查承包单位的非煤矿山安全生产许可证和相应资质，不得将外包工程发包给不具备安全生产许可证和相应资质的承包单位。承包单位的项目部承担施工作业的，发包单位除审查承包单位的安全生产许可证和相应资质外，还应当审查项目部的安全生产管理机构、规章制度和操作规程、工程技术人员、主要设备设施、安全教育培训和负责人、安全生产管理人员、特种作业人员持证上岗等情况。承担施工作业的项目部不符合本办法第二十一条规定的安全生产条件的，发包单位不得向该承包单位发包工程”；第十四条规定：“发包单位应当建立健全外包工程安全生产考核机制，对承包单位每年至少进行一次安全生产考核”。</w:t>
      </w:r>
    </w:p>
    <w:p>
      <w:pPr>
        <w:wordWrap w:val="0"/>
        <w:ind w:firstLine="624" w:firstLineChars="200"/>
        <w:rPr>
          <w:rFonts w:ascii="黑体" w:hAnsi="黑体" w:eastAsia="黑体" w:cs="Arial"/>
          <w:szCs w:val="32"/>
          <w:shd w:val="clear" w:color="auto" w:fill="FFFFFF"/>
        </w:rPr>
      </w:pPr>
      <w:r>
        <w:rPr>
          <w:rFonts w:hint="eastAsia" w:ascii="黑体" w:hAnsi="黑体" w:eastAsia="黑体" w:cs="Arial"/>
          <w:szCs w:val="32"/>
          <w:shd w:val="clear" w:color="auto" w:fill="FFFFFF"/>
        </w:rPr>
        <w:t>三、特种作业人员未持证上岗；在含硫化氢环境中作业的人员未取得硫化氢防护培训合格证；钻井及井下作业人员未取得井控培训合格证</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特种作业岗位安全风险相对较大，对人员专业能力要求较高。《安全生产法》第二十</w:t>
      </w:r>
      <w:r>
        <w:rPr>
          <w:rFonts w:ascii="仿宋" w:hAnsi="仿宋" w:cs="Arial"/>
          <w:szCs w:val="32"/>
          <w:shd w:val="clear" w:color="auto" w:fill="FFFFFF"/>
        </w:rPr>
        <w:t>七</w:t>
      </w:r>
      <w:r>
        <w:rPr>
          <w:rFonts w:hint="eastAsia" w:ascii="仿宋" w:hAnsi="仿宋" w:cs="Arial"/>
          <w:szCs w:val="32"/>
          <w:shd w:val="clear" w:color="auto" w:fill="FFFFFF"/>
        </w:rPr>
        <w:t>条第一款规定：“</w:t>
      </w:r>
      <w:r>
        <w:rPr>
          <w:rFonts w:ascii="仿宋" w:hAnsi="仿宋" w:cs="Arial"/>
          <w:szCs w:val="32"/>
          <w:shd w:val="clear" w:color="auto" w:fill="FFFFFF"/>
        </w:rPr>
        <w:t>生产经营单位的特种作业人员必须按照国家有关规定经专门的安全作业培训，取得相应资格，方可上岗作业。</w:t>
      </w:r>
      <w:r>
        <w:rPr>
          <w:rFonts w:hint="eastAsia" w:ascii="仿宋" w:hAnsi="仿宋" w:cs="Arial"/>
          <w:szCs w:val="32"/>
          <w:shd w:val="clear" w:color="auto" w:fill="FFFFFF"/>
        </w:rPr>
        <w:t>”《特种作业人员安全技术培训考核管理规定》（国家安全生产监督管理总局令第30号）对特种作业人员的培训和相应资格提出了明确要求。石油天然气开采作业过程涉及的特种作业，除司钻作业外，还包括电工作业、焊接与热切割作业、高处作业等通用作业类型。从事上述作业的人员，</w:t>
      </w:r>
      <w:r>
        <w:rPr>
          <w:rFonts w:ascii="仿宋" w:hAnsi="仿宋" w:cs="Arial"/>
          <w:szCs w:val="32"/>
          <w:shd w:val="clear" w:color="auto" w:fill="FFFFFF"/>
        </w:rPr>
        <w:t>必须经专门的安全技术培训并考核合格，取得《中华人民共和国特种作业操作证》后，方可上岗作业。</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硫化氢是一种剧毒气体，常在天然气生产、高含硫原油生产、原油馏分、伴生气和水的生产中可能遇到。硫化氢环境是指含有或可能含有硫化氢的区域。在硫化氢环境作业人员必须接受特定的防硫化氢培训并取得相关资质。《硫化氢环境人身防护规范》（S</w:t>
      </w:r>
      <w:r>
        <w:rPr>
          <w:rFonts w:ascii="仿宋" w:hAnsi="仿宋" w:cs="Arial"/>
          <w:szCs w:val="32"/>
          <w:shd w:val="clear" w:color="auto" w:fill="FFFFFF"/>
        </w:rPr>
        <w:t>Y/T</w:t>
      </w:r>
      <w:r>
        <w:rPr>
          <w:rFonts w:hint="eastAsia" w:ascii="仿宋" w:hAnsi="仿宋" w:cs="Arial"/>
          <w:szCs w:val="32"/>
          <w:shd w:val="clear" w:color="auto" w:fill="FFFFFF"/>
        </w:rPr>
        <w:t xml:space="preserve"> </w:t>
      </w:r>
      <w:r>
        <w:rPr>
          <w:rFonts w:ascii="仿宋" w:hAnsi="仿宋" w:cs="Arial"/>
          <w:szCs w:val="32"/>
          <w:shd w:val="clear" w:color="auto" w:fill="FFFFFF"/>
        </w:rPr>
        <w:t>6277-2017</w:t>
      </w:r>
      <w:r>
        <w:rPr>
          <w:rFonts w:hint="eastAsia" w:ascii="仿宋" w:hAnsi="仿宋" w:cs="Arial"/>
          <w:szCs w:val="32"/>
          <w:shd w:val="clear" w:color="auto" w:fill="FFFFFF"/>
        </w:rPr>
        <w:t>）、《硫化氢环境钻井场所作业安全规范》（S</w:t>
      </w:r>
      <w:r>
        <w:rPr>
          <w:rFonts w:ascii="仿宋" w:hAnsi="仿宋" w:cs="Arial"/>
          <w:szCs w:val="32"/>
          <w:shd w:val="clear" w:color="auto" w:fill="FFFFFF"/>
        </w:rPr>
        <w:t>Y/T</w:t>
      </w:r>
      <w:r>
        <w:rPr>
          <w:rFonts w:hint="eastAsia" w:ascii="仿宋" w:hAnsi="仿宋" w:cs="Arial"/>
          <w:szCs w:val="32"/>
          <w:shd w:val="clear" w:color="auto" w:fill="FFFFFF"/>
        </w:rPr>
        <w:t xml:space="preserve"> </w:t>
      </w:r>
      <w:r>
        <w:rPr>
          <w:rFonts w:ascii="仿宋" w:hAnsi="仿宋" w:cs="Arial"/>
          <w:szCs w:val="32"/>
          <w:shd w:val="clear" w:color="auto" w:fill="FFFFFF"/>
        </w:rPr>
        <w:t>5087-2017</w:t>
      </w:r>
      <w:r>
        <w:rPr>
          <w:rFonts w:hint="eastAsia" w:ascii="仿宋" w:hAnsi="仿宋" w:cs="Arial"/>
          <w:szCs w:val="32"/>
          <w:shd w:val="clear" w:color="auto" w:fill="FFFFFF"/>
        </w:rPr>
        <w:t>）、《硫化氢环境井下作业场所作业安全规范》（S</w:t>
      </w:r>
      <w:r>
        <w:rPr>
          <w:rFonts w:ascii="仿宋" w:hAnsi="仿宋" w:cs="Arial"/>
          <w:szCs w:val="32"/>
          <w:shd w:val="clear" w:color="auto" w:fill="FFFFFF"/>
        </w:rPr>
        <w:t>Y/T</w:t>
      </w:r>
      <w:r>
        <w:rPr>
          <w:rFonts w:hint="eastAsia" w:ascii="仿宋" w:hAnsi="仿宋" w:cs="Arial"/>
          <w:szCs w:val="32"/>
          <w:shd w:val="clear" w:color="auto" w:fill="FFFFFF"/>
        </w:rPr>
        <w:t xml:space="preserve"> </w:t>
      </w:r>
      <w:r>
        <w:rPr>
          <w:rFonts w:ascii="仿宋" w:hAnsi="仿宋" w:cs="Arial"/>
          <w:szCs w:val="32"/>
          <w:shd w:val="clear" w:color="auto" w:fill="FFFFFF"/>
        </w:rPr>
        <w:t>6610-2017</w:t>
      </w:r>
      <w:r>
        <w:rPr>
          <w:rFonts w:hint="eastAsia" w:ascii="仿宋" w:hAnsi="仿宋" w:cs="Arial"/>
          <w:szCs w:val="32"/>
          <w:shd w:val="clear" w:color="auto" w:fill="FFFFFF"/>
        </w:rPr>
        <w:t>）均对硫化氢环境中从事石油天然气作业人员提出了硫化氢防护培训的要求，《硫化氢防护安全培训规范》（S</w:t>
      </w:r>
      <w:r>
        <w:rPr>
          <w:rFonts w:ascii="仿宋" w:hAnsi="仿宋" w:cs="Arial"/>
          <w:szCs w:val="32"/>
          <w:shd w:val="clear" w:color="auto" w:fill="FFFFFF"/>
        </w:rPr>
        <w:t>Y/T</w:t>
      </w:r>
      <w:r>
        <w:rPr>
          <w:rFonts w:hint="eastAsia" w:ascii="仿宋" w:hAnsi="仿宋" w:cs="Arial"/>
          <w:szCs w:val="32"/>
          <w:shd w:val="clear" w:color="auto" w:fill="FFFFFF"/>
        </w:rPr>
        <w:t xml:space="preserve"> </w:t>
      </w:r>
      <w:r>
        <w:rPr>
          <w:rFonts w:ascii="仿宋" w:hAnsi="仿宋" w:cs="Arial"/>
          <w:szCs w:val="32"/>
          <w:shd w:val="clear" w:color="auto" w:fill="FFFFFF"/>
        </w:rPr>
        <w:t>7356-2017</w:t>
      </w:r>
      <w:r>
        <w:rPr>
          <w:rFonts w:hint="eastAsia" w:ascii="仿宋" w:hAnsi="仿宋" w:cs="Arial"/>
          <w:szCs w:val="32"/>
          <w:shd w:val="clear" w:color="auto" w:fill="FFFFFF"/>
        </w:rPr>
        <w:t>）对硫化氢防护安全培训的人员、培训机构、培训模块、培训实施、考核与发证、监督管理作出了具体规定。</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井喷失控是石油天然气开采作业过程中发生的一种恶性事故，通常具有伤亡人数多、经济损失大的特点，从事钻井及井下作业人员应持井控培训合格证上岗。《石油天然气钻井井控技术规范》（</w:t>
      </w:r>
      <w:r>
        <w:rPr>
          <w:rFonts w:ascii="仿宋" w:hAnsi="仿宋" w:cs="Arial"/>
          <w:szCs w:val="32"/>
          <w:shd w:val="clear" w:color="auto" w:fill="FFFFFF"/>
        </w:rPr>
        <w:t>GB/T</w:t>
      </w:r>
      <w:r>
        <w:rPr>
          <w:rFonts w:hint="eastAsia" w:ascii="仿宋" w:hAnsi="仿宋" w:cs="Arial"/>
          <w:szCs w:val="32"/>
          <w:shd w:val="clear" w:color="auto" w:fill="FFFFFF"/>
        </w:rPr>
        <w:t xml:space="preserve"> </w:t>
      </w:r>
      <w:r>
        <w:rPr>
          <w:rFonts w:ascii="仿宋" w:hAnsi="仿宋" w:cs="Arial"/>
          <w:szCs w:val="32"/>
          <w:shd w:val="clear" w:color="auto" w:fill="FFFFFF"/>
        </w:rPr>
        <w:t>31033-2014</w:t>
      </w:r>
      <w:r>
        <w:rPr>
          <w:rFonts w:hint="eastAsia" w:ascii="仿宋" w:hAnsi="仿宋" w:cs="Arial"/>
          <w:szCs w:val="32"/>
          <w:shd w:val="clear" w:color="auto" w:fill="FFFFFF"/>
        </w:rPr>
        <w:t>）规定：“从事钻井生产、技术和安全管理的各级人员、现场操作和现场技术服务有关人员以及井控培训教师应持井控培训合格证上岗”。《石油与天然气井井控安全技术考核管理规则》（S</w:t>
      </w:r>
      <w:r>
        <w:rPr>
          <w:rFonts w:ascii="仿宋" w:hAnsi="仿宋" w:cs="Arial"/>
          <w:szCs w:val="32"/>
          <w:shd w:val="clear" w:color="auto" w:fill="FFFFFF"/>
        </w:rPr>
        <w:t>Y</w:t>
      </w:r>
      <w:r>
        <w:rPr>
          <w:rFonts w:hint="eastAsia" w:ascii="仿宋" w:hAnsi="仿宋" w:cs="Arial"/>
          <w:szCs w:val="32"/>
          <w:shd w:val="clear" w:color="auto" w:fill="FFFFFF"/>
        </w:rPr>
        <w:t xml:space="preserve"> </w:t>
      </w:r>
      <w:r>
        <w:rPr>
          <w:rFonts w:ascii="仿宋" w:hAnsi="仿宋" w:cs="Arial"/>
          <w:szCs w:val="32"/>
          <w:shd w:val="clear" w:color="auto" w:fill="FFFFFF"/>
        </w:rPr>
        <w:t>5742-2007</w:t>
      </w:r>
      <w:r>
        <w:rPr>
          <w:rFonts w:hint="eastAsia" w:ascii="仿宋" w:hAnsi="仿宋" w:cs="Arial"/>
          <w:szCs w:val="32"/>
          <w:shd w:val="clear" w:color="auto" w:fill="FFFFFF"/>
        </w:rPr>
        <w:t>）对井控安全培训、考核、发证、复审和管理作出了具体规定。</w:t>
      </w:r>
    </w:p>
    <w:p>
      <w:pPr>
        <w:wordWrap w:val="0"/>
        <w:ind w:firstLine="624" w:firstLineChars="200"/>
        <w:rPr>
          <w:rFonts w:ascii="黑体" w:hAnsi="黑体" w:eastAsia="黑体" w:cs="Arial"/>
          <w:szCs w:val="32"/>
          <w:shd w:val="clear" w:color="auto" w:fill="FFFFFF"/>
        </w:rPr>
      </w:pPr>
      <w:r>
        <w:rPr>
          <w:rFonts w:hint="eastAsia" w:ascii="黑体" w:hAnsi="黑体" w:eastAsia="黑体" w:cs="Arial"/>
          <w:szCs w:val="32"/>
          <w:shd w:val="clear" w:color="auto" w:fill="FFFFFF"/>
        </w:rPr>
        <w:t>四、未按规定落实作业审批制度，擅自进行动火、进入受限空间等特殊作业</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动火、吊装、有限空间、挖掘等作业属于特殊作业，也是高风险作业，极易发生生产安全</w:t>
      </w:r>
      <w:r>
        <w:fldChar w:fldCharType="begin"/>
      </w:r>
      <w:r>
        <w:instrText xml:space="preserve"> HYPERLINK "http://www.mkaq.org/sggl/" \t "_blank" \o "事故管理 煤矿事故" </w:instrText>
      </w:r>
      <w:r>
        <w:fldChar w:fldCharType="separate"/>
      </w:r>
      <w:r>
        <w:rPr>
          <w:rFonts w:hint="eastAsia" w:ascii="仿宋" w:hAnsi="仿宋" w:cs="Arial"/>
          <w:szCs w:val="32"/>
        </w:rPr>
        <w:t>事故</w:t>
      </w:r>
      <w:r>
        <w:rPr>
          <w:rFonts w:hint="eastAsia" w:ascii="仿宋" w:hAnsi="仿宋" w:cs="Arial"/>
          <w:szCs w:val="32"/>
        </w:rPr>
        <w:fldChar w:fldCharType="end"/>
      </w:r>
      <w:r>
        <w:rPr>
          <w:rFonts w:hint="eastAsia" w:ascii="仿宋" w:hAnsi="仿宋" w:cs="Arial"/>
          <w:szCs w:val="32"/>
          <w:shd w:val="clear" w:color="auto" w:fill="FFFFFF"/>
        </w:rPr>
        <w:t>，是石油天然气开采企业</w:t>
      </w:r>
      <w:r>
        <w:rPr>
          <w:rFonts w:hint="eastAsia" w:ascii="仿宋" w:hAnsi="仿宋" w:cs="Arial"/>
          <w:szCs w:val="32"/>
        </w:rPr>
        <w:t>安全管理</w:t>
      </w:r>
      <w:r>
        <w:rPr>
          <w:rFonts w:hint="eastAsia" w:ascii="仿宋" w:hAnsi="仿宋" w:cs="Arial"/>
          <w:szCs w:val="32"/>
          <w:shd w:val="clear" w:color="auto" w:fill="FFFFFF"/>
        </w:rPr>
        <w:t>重点关注的施工作业。应严格杜绝该类作业的随意性，严格执行作业许可</w:t>
      </w:r>
      <w:r>
        <w:fldChar w:fldCharType="begin"/>
      </w:r>
      <w:r>
        <w:instrText xml:space="preserve"> HYPERLINK "http://www.mkaq.org/mkgl/" \t "_blank" \o "煤矿管理制度 煤矿安全制度" </w:instrText>
      </w:r>
      <w:r>
        <w:fldChar w:fldCharType="separate"/>
      </w:r>
      <w:r>
        <w:rPr>
          <w:rFonts w:hint="eastAsia" w:ascii="仿宋" w:hAnsi="仿宋" w:cs="Arial"/>
          <w:szCs w:val="32"/>
        </w:rPr>
        <w:t>制度</w:t>
      </w:r>
      <w:r>
        <w:rPr>
          <w:rFonts w:hint="eastAsia" w:ascii="仿宋" w:hAnsi="仿宋" w:cs="Arial"/>
          <w:szCs w:val="32"/>
        </w:rPr>
        <w:fldChar w:fldCharType="end"/>
      </w:r>
      <w:r>
        <w:rPr>
          <w:rFonts w:hint="eastAsia" w:ascii="仿宋" w:hAnsi="仿宋" w:cs="Arial"/>
          <w:szCs w:val="32"/>
          <w:shd w:val="clear" w:color="auto" w:fill="FFFFFF"/>
        </w:rPr>
        <w:t>，实行作业许可票证管理，严禁无作业票作业。作业许可的流程应包括作业申请、作业风险评估和</w:t>
      </w:r>
      <w:r>
        <w:fldChar w:fldCharType="begin"/>
      </w:r>
      <w:r>
        <w:instrText xml:space="preserve"> HYPERLINK "http://www.mkaq.org/jscs/" \t "_blank" \o "安全技术措施" </w:instrText>
      </w:r>
      <w:r>
        <w:fldChar w:fldCharType="separate"/>
      </w:r>
      <w:r>
        <w:rPr>
          <w:rFonts w:hint="eastAsia" w:ascii="仿宋" w:hAnsi="仿宋" w:cs="Arial"/>
          <w:szCs w:val="32"/>
        </w:rPr>
        <w:t>安全措施</w:t>
      </w:r>
      <w:r>
        <w:rPr>
          <w:rFonts w:hint="eastAsia" w:ascii="仿宋" w:hAnsi="仿宋" w:cs="Arial"/>
          <w:szCs w:val="32"/>
        </w:rPr>
        <w:fldChar w:fldCharType="end"/>
      </w:r>
      <w:r>
        <w:rPr>
          <w:rFonts w:hint="eastAsia" w:ascii="仿宋" w:hAnsi="仿宋" w:cs="Arial"/>
          <w:szCs w:val="32"/>
          <w:shd w:val="clear" w:color="auto" w:fill="FFFFFF"/>
        </w:rPr>
        <w:t>落实、作业现场审核与作业批准、作业实施与现场监督、作业延期或取消、作业关闭等过程。严格控制该类特殊作业的时间、地点、人员、设施设备及工器具的完整性、作业现场的防范措施，并认真落实现场安全监督人员责任。原则上应杜绝在节假日从事该类特殊作业，确有需要时，要进行作业升级管理，执行更严格的现场防范措施和作业审批</w:t>
      </w:r>
      <w:r>
        <w:fldChar w:fldCharType="begin"/>
      </w:r>
      <w:r>
        <w:instrText xml:space="preserve"> HYPERLINK "http://www.mkaq.org/mkgl/" \t "_blank" \o "煤矿管理制度 煤矿安全制度" </w:instrText>
      </w:r>
      <w:r>
        <w:fldChar w:fldCharType="separate"/>
      </w:r>
      <w:r>
        <w:rPr>
          <w:rFonts w:hint="eastAsia" w:ascii="仿宋" w:hAnsi="仿宋" w:cs="Arial"/>
          <w:szCs w:val="32"/>
        </w:rPr>
        <w:t>制度</w:t>
      </w:r>
      <w:r>
        <w:rPr>
          <w:rFonts w:hint="eastAsia" w:ascii="仿宋" w:hAnsi="仿宋" w:cs="Arial"/>
          <w:szCs w:val="32"/>
        </w:rPr>
        <w:fldChar w:fldCharType="end"/>
      </w:r>
      <w:r>
        <w:rPr>
          <w:rFonts w:hint="eastAsia" w:ascii="仿宋" w:hAnsi="仿宋" w:cs="Arial"/>
          <w:szCs w:val="32"/>
          <w:shd w:val="clear" w:color="auto" w:fill="FFFFFF"/>
        </w:rPr>
        <w:t>。同时，严禁多个特殊作业同时交叉作业。《油气管道储运设施受限空间作业安全规范》（SY 05095-2017）、《油气管道动火规范》（SY 05064-2018）、《管线打开安全管理规范》（SY 08243-2018）、《脚手架作业安全管理规范》（SY 08246-2018）、《挖掘作业安全管理规范》（SY 08247-2018）、《移动式起重机吊装作业安全管理规范》（SY 08248-2018）分别对六类特殊作业的安全要求、票证管理、作业票证形式等作出了具体规定。</w:t>
      </w:r>
    </w:p>
    <w:p>
      <w:pPr>
        <w:wordWrap w:val="0"/>
        <w:ind w:firstLine="624" w:firstLineChars="200"/>
        <w:rPr>
          <w:rFonts w:ascii="仿宋" w:hAnsi="仿宋" w:cs="Arial"/>
          <w:szCs w:val="32"/>
          <w:shd w:val="clear" w:color="auto" w:fill="FFFFFF"/>
        </w:rPr>
      </w:pPr>
      <w:r>
        <w:rPr>
          <w:rFonts w:hint="eastAsia" w:ascii="黑体" w:hAnsi="黑体" w:eastAsia="黑体" w:cs="Arial"/>
          <w:szCs w:val="32"/>
          <w:shd w:val="clear" w:color="auto" w:fill="FFFFFF"/>
        </w:rPr>
        <w:t>五、特种设备未按规定办理使用登记和定期检验合格；安全附件未按规定校验合格</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特种设备安全法》第三十二条规定：“特种设备使用单位应当使用取得许可生产并经检验合格的特种设备”；第三十三条规定：“特种设备使用单位应当在特种设备投入使用前或者投入使用后三十日内，向负责特种设备安全监督管理的部门办理使用登记，取得使用登记证书”；</w:t>
      </w:r>
      <w:r>
        <w:rPr>
          <w:rFonts w:ascii="仿宋" w:hAnsi="仿宋" w:cs="Arial"/>
          <w:szCs w:val="32"/>
          <w:shd w:val="clear" w:color="auto" w:fill="FFFFFF"/>
        </w:rPr>
        <w:t>第三十九条</w:t>
      </w:r>
      <w:r>
        <w:rPr>
          <w:rFonts w:hint="eastAsia" w:ascii="仿宋" w:hAnsi="仿宋" w:cs="Arial"/>
          <w:szCs w:val="32"/>
          <w:shd w:val="clear" w:color="auto" w:fill="FFFFFF"/>
        </w:rPr>
        <w:t>第一款规定：“</w:t>
      </w:r>
      <w:r>
        <w:rPr>
          <w:rFonts w:ascii="仿宋" w:hAnsi="仿宋" w:cs="Arial"/>
          <w:szCs w:val="32"/>
          <w:shd w:val="clear" w:color="auto" w:fill="FFFFFF"/>
        </w:rPr>
        <w:t>特种设备使用单位应当对其使用的特种设备进行经常性维护保养和定期自行检查，并作出记录。</w:t>
      </w:r>
      <w:r>
        <w:rPr>
          <w:rFonts w:hint="eastAsia" w:ascii="仿宋" w:hAnsi="仿宋" w:cs="Arial"/>
          <w:szCs w:val="32"/>
          <w:shd w:val="clear" w:color="auto" w:fill="FFFFFF"/>
        </w:rPr>
        <w:t>”</w:t>
      </w:r>
      <w:r>
        <w:rPr>
          <w:rFonts w:ascii="仿宋" w:hAnsi="仿宋" w:cs="Arial"/>
          <w:szCs w:val="32"/>
          <w:shd w:val="clear" w:color="auto" w:fill="FFFFFF"/>
        </w:rPr>
        <w:t>第四十条</w:t>
      </w:r>
      <w:r>
        <w:rPr>
          <w:rFonts w:hint="eastAsia" w:ascii="仿宋" w:hAnsi="仿宋" w:cs="Arial"/>
          <w:szCs w:val="32"/>
          <w:shd w:val="clear" w:color="auto" w:fill="FFFFFF"/>
        </w:rPr>
        <w:t>规定：“</w:t>
      </w:r>
      <w:r>
        <w:rPr>
          <w:rFonts w:ascii="仿宋" w:hAnsi="仿宋" w:cs="Arial"/>
          <w:szCs w:val="32"/>
          <w:shd w:val="clear" w:color="auto" w:fill="FFFFFF"/>
        </w:rPr>
        <w:t>特种设备使用单位应当按照安全技术规范的要求，在检验合格有效期届满前一个月向特种设备检验机构提出定期检验要求。未经定期检验或者检验不合格的特种设备，不得继续使用</w:t>
      </w:r>
      <w:r>
        <w:rPr>
          <w:rFonts w:hint="eastAsia" w:ascii="仿宋" w:hAnsi="仿宋" w:cs="Arial"/>
          <w:szCs w:val="32"/>
          <w:shd w:val="clear" w:color="auto" w:fill="FFFFFF"/>
        </w:rPr>
        <w:t>”。石油天然气开采企业涉及的特种设备有压力容器、锅炉、压力管道、起重机械等，应按照《压力容器定期检验规则》（TSG R7001-2013）、《锅炉定期检验规则》（TSG G7002-2015）、《压力管道定期检验规则工业管道》（TSG D7005-2018）、《起重机械定期检验规则》（TSG Q7015-2016）等定期进行检验，取得检验合格报告后方可继续投入使用。</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安全附件</w:t>
      </w:r>
      <w:r>
        <w:rPr>
          <w:rFonts w:ascii="仿宋" w:hAnsi="仿宋" w:cs="Arial"/>
          <w:szCs w:val="32"/>
          <w:shd w:val="clear" w:color="auto" w:fill="FFFFFF"/>
        </w:rPr>
        <w:t>是为了使压力容器安全运行而安装在设备上的安全装置</w:t>
      </w:r>
      <w:r>
        <w:rPr>
          <w:rFonts w:hint="eastAsia" w:ascii="仿宋" w:hAnsi="仿宋" w:cs="Arial"/>
          <w:szCs w:val="32"/>
          <w:shd w:val="clear" w:color="auto" w:fill="FFFFFF"/>
        </w:rPr>
        <w:t>，通常包括安全阀、爆破片、压力表、</w:t>
      </w:r>
      <w:r>
        <w:rPr>
          <w:rFonts w:ascii="仿宋" w:hAnsi="仿宋" w:cs="Arial"/>
          <w:szCs w:val="32"/>
          <w:shd w:val="clear" w:color="auto" w:fill="FFFFFF"/>
        </w:rPr>
        <w:t>液位计、测温仪表及储罐呼吸阀</w:t>
      </w:r>
      <w:r>
        <w:rPr>
          <w:rFonts w:hint="eastAsia" w:ascii="仿宋" w:hAnsi="仿宋" w:cs="Arial"/>
          <w:szCs w:val="32"/>
          <w:shd w:val="clear" w:color="auto" w:fill="FFFFFF"/>
        </w:rPr>
        <w:t>、阻火器</w:t>
      </w:r>
      <w:r>
        <w:rPr>
          <w:rFonts w:ascii="仿宋" w:hAnsi="仿宋" w:cs="Arial"/>
          <w:szCs w:val="32"/>
          <w:shd w:val="clear" w:color="auto" w:fill="FFFFFF"/>
        </w:rPr>
        <w:t>等</w:t>
      </w:r>
      <w:r>
        <w:rPr>
          <w:rFonts w:hint="eastAsia" w:ascii="仿宋" w:hAnsi="仿宋" w:cs="Arial"/>
          <w:szCs w:val="32"/>
          <w:shd w:val="clear" w:color="auto" w:fill="FFFFFF"/>
        </w:rPr>
        <w:t>。《特种设备安全法》</w:t>
      </w:r>
      <w:r>
        <w:rPr>
          <w:rFonts w:ascii="仿宋" w:hAnsi="仿宋" w:cs="Arial"/>
          <w:szCs w:val="32"/>
          <w:shd w:val="clear" w:color="auto" w:fill="FFFFFF"/>
        </w:rPr>
        <w:t>第三十九条</w:t>
      </w:r>
      <w:r>
        <w:rPr>
          <w:rFonts w:hint="eastAsia" w:ascii="仿宋" w:hAnsi="仿宋" w:cs="Arial"/>
          <w:szCs w:val="32"/>
          <w:shd w:val="clear" w:color="auto" w:fill="FFFFFF"/>
        </w:rPr>
        <w:t>第二款规定：“</w:t>
      </w:r>
      <w:r>
        <w:rPr>
          <w:rFonts w:ascii="仿宋" w:hAnsi="仿宋" w:cs="Arial"/>
          <w:szCs w:val="32"/>
          <w:shd w:val="clear" w:color="auto" w:fill="FFFFFF"/>
        </w:rPr>
        <w:t>特种设备使用单位应当对其使用的特种设备的安全附件、安全保护装置进行定期校验、检修，并作出记录</w:t>
      </w:r>
      <w:r>
        <w:rPr>
          <w:rFonts w:hint="eastAsia" w:ascii="仿宋" w:hAnsi="仿宋" w:cs="Arial"/>
          <w:szCs w:val="32"/>
          <w:shd w:val="clear" w:color="auto" w:fill="FFFFFF"/>
        </w:rPr>
        <w:t>”。《钢质原油储罐运行安全规范》（SY 6306-2014）规定：“建设单位应建立储罐安全阀、呼吸阀、阻火器、液位计、压力表、火灾报警系统、防雷防静电装置等安全设施台账及检测、效验报告。每年应委托有检验资质的单位对储罐呼吸阀、液压安全阀、阻火器进行一次检验，并出具检验报告。”</w:t>
      </w:r>
    </w:p>
    <w:p>
      <w:pPr>
        <w:wordWrap w:val="0"/>
        <w:ind w:firstLine="624" w:firstLineChars="200"/>
        <w:rPr>
          <w:rFonts w:ascii="黑体" w:hAnsi="黑体" w:eastAsia="黑体" w:cs="Arial"/>
          <w:szCs w:val="32"/>
          <w:shd w:val="clear" w:color="auto" w:fill="FFFFFF"/>
        </w:rPr>
      </w:pPr>
      <w:r>
        <w:rPr>
          <w:rFonts w:hint="eastAsia" w:ascii="黑体" w:hAnsi="黑体" w:eastAsia="黑体" w:cs="Arial"/>
          <w:szCs w:val="32"/>
          <w:shd w:val="clear" w:color="auto" w:fill="FFFFFF"/>
        </w:rPr>
        <w:t>六、新建、改建、扩建工程安全设施未与主体工程同时设计、同时施工、同时投入生产和使用</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《安全生产法》、《建设项目安全设施“三同时”监督管理办法》（国家安全生产监督管理总局令第3</w:t>
      </w:r>
      <w:r>
        <w:rPr>
          <w:rFonts w:ascii="仿宋" w:hAnsi="仿宋" w:cs="Arial"/>
          <w:szCs w:val="32"/>
          <w:shd w:val="clear" w:color="auto" w:fill="FFFFFF"/>
        </w:rPr>
        <w:t>6</w:t>
      </w:r>
      <w:r>
        <w:rPr>
          <w:rFonts w:hint="eastAsia" w:ascii="仿宋" w:hAnsi="仿宋" w:cs="Arial"/>
          <w:szCs w:val="32"/>
          <w:shd w:val="clear" w:color="auto" w:fill="FFFFFF"/>
        </w:rPr>
        <w:t>号）均规定：“生产经营单位新建、改建、扩建工程项目（以下统称建设项目）的安全设施，必须与主体工程同时设计、同时施工、同时投入生产和使用”。</w:t>
      </w:r>
    </w:p>
    <w:p>
      <w:pPr>
        <w:wordWrap w:val="0"/>
        <w:ind w:firstLine="624" w:firstLineChars="200"/>
        <w:rPr>
          <w:rFonts w:ascii="黑体" w:hAnsi="黑体" w:eastAsia="黑体" w:cs="Arial"/>
          <w:szCs w:val="32"/>
          <w:shd w:val="clear" w:color="auto" w:fill="FFFFFF"/>
        </w:rPr>
      </w:pPr>
      <w:r>
        <w:rPr>
          <w:rFonts w:hint="eastAsia" w:ascii="黑体" w:hAnsi="黑体" w:eastAsia="黑体" w:cs="Arial"/>
          <w:szCs w:val="32"/>
          <w:shd w:val="clear" w:color="auto" w:fill="FFFFFF"/>
        </w:rPr>
        <w:t>七、井场、站场、管道等位于湿陷性黄土易塌陷、滑坡等地段，未采取有效防护措施</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陕西省石油天然气开采企业作业范围主要分布在延安市、榆林市行政区域内，属于</w:t>
      </w:r>
      <w:r>
        <w:rPr>
          <w:rFonts w:ascii="仿宋" w:hAnsi="仿宋" w:cs="Arial"/>
          <w:szCs w:val="32"/>
          <w:shd w:val="clear" w:color="auto" w:fill="FFFFFF"/>
        </w:rPr>
        <w:t>陕北黄土高原丘陵沟壑区</w:t>
      </w:r>
      <w:r>
        <w:rPr>
          <w:rFonts w:hint="eastAsia" w:ascii="仿宋" w:hAnsi="仿宋" w:cs="Arial"/>
          <w:szCs w:val="32"/>
          <w:shd w:val="clear" w:color="auto" w:fill="FFFFFF"/>
        </w:rPr>
        <w:t>，地貌特点为</w:t>
      </w:r>
      <w:r>
        <w:rPr>
          <w:rFonts w:ascii="仿宋" w:hAnsi="仿宋" w:cs="Arial"/>
          <w:szCs w:val="32"/>
          <w:shd w:val="clear" w:color="auto" w:fill="FFFFFF"/>
        </w:rPr>
        <w:t>沟壑纵横</w:t>
      </w:r>
      <w:r>
        <w:rPr>
          <w:rFonts w:hint="eastAsia" w:ascii="仿宋" w:hAnsi="仿宋" w:cs="Arial"/>
          <w:szCs w:val="32"/>
          <w:shd w:val="clear" w:color="auto" w:fill="FFFFFF"/>
        </w:rPr>
        <w:t>、</w:t>
      </w:r>
      <w:r>
        <w:rPr>
          <w:rFonts w:ascii="仿宋" w:hAnsi="仿宋" w:cs="Arial"/>
          <w:szCs w:val="32"/>
          <w:shd w:val="clear" w:color="auto" w:fill="FFFFFF"/>
        </w:rPr>
        <w:t>梁峁起伏，</w:t>
      </w:r>
      <w:r>
        <w:rPr>
          <w:rFonts w:hint="eastAsia" w:ascii="仿宋" w:hAnsi="仿宋" w:cs="Arial"/>
          <w:szCs w:val="32"/>
          <w:shd w:val="clear" w:color="auto" w:fill="FFFFFF"/>
        </w:rPr>
        <w:t>且各类井场、站场、管道所处位置多根据地形条件采取挖方、填方的方式平整场地，站场周边多临黄土边坡。黄土具有湿陷性，易受雨水、山洪冲刷造成水土流失，从而威胁土质边坡稳定性。黄土边坡易发生塌陷、滑坡等地段，应按照《建筑边坡工程技术规范》（G</w:t>
      </w:r>
      <w:r>
        <w:rPr>
          <w:rFonts w:ascii="仿宋" w:hAnsi="仿宋" w:cs="Arial"/>
          <w:szCs w:val="32"/>
          <w:shd w:val="clear" w:color="auto" w:fill="FFFFFF"/>
        </w:rPr>
        <w:t>B</w:t>
      </w:r>
      <w:r>
        <w:rPr>
          <w:rFonts w:hint="eastAsia" w:ascii="仿宋" w:hAnsi="仿宋" w:cs="Arial"/>
          <w:szCs w:val="32"/>
          <w:shd w:val="clear" w:color="auto" w:fill="FFFFFF"/>
        </w:rPr>
        <w:t xml:space="preserve"> </w:t>
      </w:r>
      <w:r>
        <w:rPr>
          <w:rFonts w:ascii="仿宋" w:hAnsi="仿宋" w:cs="Arial"/>
          <w:szCs w:val="32"/>
          <w:shd w:val="clear" w:color="auto" w:fill="FFFFFF"/>
        </w:rPr>
        <w:t>50330</w:t>
      </w:r>
      <w:r>
        <w:rPr>
          <w:rFonts w:hint="eastAsia" w:ascii="仿宋" w:hAnsi="仿宋" w:cs="Arial"/>
          <w:szCs w:val="32"/>
          <w:shd w:val="clear" w:color="auto" w:fill="FFFFFF"/>
        </w:rPr>
        <w:t>-</w:t>
      </w:r>
      <w:r>
        <w:rPr>
          <w:rFonts w:ascii="仿宋" w:hAnsi="仿宋" w:cs="Arial"/>
          <w:szCs w:val="32"/>
          <w:shd w:val="clear" w:color="auto" w:fill="FFFFFF"/>
        </w:rPr>
        <w:t>2013</w:t>
      </w:r>
      <w:r>
        <w:rPr>
          <w:rFonts w:hint="eastAsia" w:ascii="仿宋" w:hAnsi="仿宋" w:cs="Arial"/>
          <w:szCs w:val="32"/>
          <w:shd w:val="clear" w:color="auto" w:fill="FFFFFF"/>
        </w:rPr>
        <w:t>）采取喷锚、挡墙、坡率法等边坡支护措施进行防护，坡面应采取工程防护或植物防护措施防止水土流失。</w:t>
      </w:r>
    </w:p>
    <w:p>
      <w:pPr>
        <w:wordWrap w:val="0"/>
        <w:ind w:firstLine="624" w:firstLineChars="200"/>
        <w:rPr>
          <w:rFonts w:ascii="黑体" w:hAnsi="黑体" w:eastAsia="黑体" w:cs="Arial"/>
          <w:szCs w:val="32"/>
          <w:shd w:val="clear" w:color="auto" w:fill="FFFFFF"/>
        </w:rPr>
      </w:pPr>
      <w:r>
        <w:rPr>
          <w:rFonts w:hint="eastAsia" w:ascii="黑体" w:hAnsi="黑体" w:eastAsia="黑体" w:cs="Arial"/>
          <w:szCs w:val="32"/>
          <w:shd w:val="clear" w:color="auto" w:fill="FFFFFF"/>
        </w:rPr>
        <w:t>八、站场、钻井井场与周边设施之间间距不符合国家标准要求</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（一）石油天然气站场、井场与周边设施之间的防火间距：《石油天然气工程设计防火规范》（G</w:t>
      </w:r>
      <w:r>
        <w:rPr>
          <w:rFonts w:ascii="仿宋" w:hAnsi="仿宋" w:cs="Arial"/>
          <w:szCs w:val="32"/>
          <w:shd w:val="clear" w:color="auto" w:fill="FFFFFF"/>
        </w:rPr>
        <w:t>B</w:t>
      </w:r>
      <w:r>
        <w:rPr>
          <w:rFonts w:hint="eastAsia" w:ascii="仿宋" w:hAnsi="仿宋" w:cs="Arial"/>
          <w:szCs w:val="32"/>
          <w:shd w:val="clear" w:color="auto" w:fill="FFFFFF"/>
        </w:rPr>
        <w:t xml:space="preserve"> </w:t>
      </w:r>
      <w:r>
        <w:rPr>
          <w:rFonts w:ascii="仿宋" w:hAnsi="仿宋" w:cs="Arial"/>
          <w:szCs w:val="32"/>
          <w:shd w:val="clear" w:color="auto" w:fill="FFFFFF"/>
        </w:rPr>
        <w:t>50183-20</w:t>
      </w:r>
      <w:r>
        <w:rPr>
          <w:rFonts w:hint="eastAsia" w:ascii="仿宋" w:hAnsi="仿宋" w:cs="Arial"/>
          <w:szCs w:val="32"/>
          <w:shd w:val="clear" w:color="auto" w:fill="FFFFFF"/>
        </w:rPr>
        <w:t>04）第4</w:t>
      </w:r>
      <w:r>
        <w:rPr>
          <w:rFonts w:ascii="仿宋" w:hAnsi="仿宋" w:cs="Arial"/>
          <w:szCs w:val="32"/>
          <w:shd w:val="clear" w:color="auto" w:fill="FFFFFF"/>
        </w:rPr>
        <w:t>.0.4</w:t>
      </w:r>
      <w:r>
        <w:rPr>
          <w:rFonts w:hint="eastAsia" w:ascii="仿宋" w:hAnsi="仿宋" w:cs="Arial"/>
          <w:szCs w:val="32"/>
          <w:shd w:val="clear" w:color="auto" w:fill="FFFFFF"/>
        </w:rPr>
        <w:t>条规定：“石油天然气站场与周围居住区、相邻厂矿企业、交通线等的防火间距，不应小于表4</w:t>
      </w:r>
      <w:r>
        <w:rPr>
          <w:rFonts w:ascii="仿宋" w:hAnsi="仿宋" w:cs="Arial"/>
          <w:szCs w:val="32"/>
          <w:shd w:val="clear" w:color="auto" w:fill="FFFFFF"/>
        </w:rPr>
        <w:t>.0.4</w:t>
      </w:r>
      <w:r>
        <w:rPr>
          <w:rFonts w:hint="eastAsia" w:ascii="仿宋" w:hAnsi="仿宋" w:cs="Arial"/>
          <w:szCs w:val="32"/>
          <w:shd w:val="clear" w:color="auto" w:fill="FFFFFF"/>
        </w:rPr>
        <w:t>的规定”。第4</w:t>
      </w:r>
      <w:r>
        <w:rPr>
          <w:rFonts w:ascii="仿宋" w:hAnsi="仿宋" w:cs="Arial"/>
          <w:szCs w:val="32"/>
          <w:shd w:val="clear" w:color="auto" w:fill="FFFFFF"/>
        </w:rPr>
        <w:t>.0.7</w:t>
      </w:r>
      <w:r>
        <w:rPr>
          <w:rFonts w:hint="eastAsia" w:ascii="仿宋" w:hAnsi="仿宋" w:cs="Arial"/>
          <w:szCs w:val="32"/>
          <w:shd w:val="clear" w:color="auto" w:fill="FFFFFF"/>
        </w:rPr>
        <w:t>条规定：“油气井与周围建（构）筑物、设施的防火间距应按表4</w:t>
      </w:r>
      <w:r>
        <w:rPr>
          <w:rFonts w:ascii="仿宋" w:hAnsi="仿宋" w:cs="Arial"/>
          <w:szCs w:val="32"/>
          <w:shd w:val="clear" w:color="auto" w:fill="FFFFFF"/>
        </w:rPr>
        <w:t>.0.7</w:t>
      </w:r>
      <w:r>
        <w:rPr>
          <w:rFonts w:hint="eastAsia" w:ascii="仿宋" w:hAnsi="仿宋" w:cs="Arial"/>
          <w:szCs w:val="32"/>
          <w:shd w:val="clear" w:color="auto" w:fill="FFFFFF"/>
        </w:rPr>
        <w:t>的规定执行，自喷油井应在一、二、三、四级石油天然气站场围墙以外”。</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（二）钻井井场与周边设施之间、井筒与采掘坑道或矿井坑道之间、油气井之间的安全间距：《石油天然气钻井井控技术规范》（GB/T 31033-2014）第4.1条、《硫化氢环境钻井场所作业安全规范》（</w:t>
      </w:r>
      <w:r>
        <w:rPr>
          <w:rFonts w:ascii="仿宋" w:hAnsi="仿宋" w:cs="Arial"/>
          <w:szCs w:val="32"/>
          <w:shd w:val="clear" w:color="auto" w:fill="FFFFFF"/>
        </w:rPr>
        <w:t>SY/T</w:t>
      </w:r>
      <w:r>
        <w:rPr>
          <w:rFonts w:hint="eastAsia" w:ascii="仿宋" w:hAnsi="仿宋" w:cs="Arial"/>
          <w:szCs w:val="32"/>
          <w:shd w:val="clear" w:color="auto" w:fill="FFFFFF"/>
        </w:rPr>
        <w:t xml:space="preserve"> </w:t>
      </w:r>
      <w:r>
        <w:rPr>
          <w:rFonts w:ascii="仿宋" w:hAnsi="仿宋" w:cs="Arial"/>
          <w:szCs w:val="32"/>
          <w:shd w:val="clear" w:color="auto" w:fill="FFFFFF"/>
        </w:rPr>
        <w:t>5087-2017</w:t>
      </w:r>
      <w:r>
        <w:rPr>
          <w:rFonts w:hint="eastAsia" w:ascii="仿宋" w:hAnsi="仿宋" w:cs="Arial"/>
          <w:szCs w:val="32"/>
          <w:shd w:val="clear" w:color="auto" w:fill="FFFFFF"/>
        </w:rPr>
        <w:t>）第4.2.2条、《石油天然气钻井、开发、储运防火防爆安全生产技术规程》（</w:t>
      </w:r>
      <w:r>
        <w:rPr>
          <w:rFonts w:ascii="仿宋" w:hAnsi="仿宋" w:cs="Arial"/>
          <w:szCs w:val="32"/>
          <w:shd w:val="clear" w:color="auto" w:fill="FFFFFF"/>
        </w:rPr>
        <w:t>SY</w:t>
      </w:r>
      <w:r>
        <w:rPr>
          <w:rFonts w:hint="eastAsia" w:ascii="仿宋" w:hAnsi="仿宋" w:cs="Arial"/>
          <w:szCs w:val="32"/>
          <w:shd w:val="clear" w:color="auto" w:fill="FFFFFF"/>
        </w:rPr>
        <w:t xml:space="preserve"> </w:t>
      </w:r>
      <w:r>
        <w:rPr>
          <w:rFonts w:ascii="仿宋" w:hAnsi="仿宋" w:cs="Arial"/>
          <w:szCs w:val="32"/>
          <w:shd w:val="clear" w:color="auto" w:fill="FFFFFF"/>
        </w:rPr>
        <w:t>5225-2012</w:t>
      </w:r>
      <w:r>
        <w:rPr>
          <w:rFonts w:hint="eastAsia" w:ascii="仿宋" w:hAnsi="仿宋" w:cs="Arial"/>
          <w:szCs w:val="32"/>
          <w:shd w:val="clear" w:color="auto" w:fill="FFFFFF"/>
        </w:rPr>
        <w:t>）第3.1.2条、《钻前工程及井场布置技术要求》（</w:t>
      </w:r>
      <w:r>
        <w:rPr>
          <w:rFonts w:ascii="仿宋" w:hAnsi="仿宋" w:cs="Arial"/>
          <w:szCs w:val="32"/>
          <w:shd w:val="clear" w:color="auto" w:fill="FFFFFF"/>
        </w:rPr>
        <w:t>SY/T</w:t>
      </w:r>
      <w:r>
        <w:rPr>
          <w:rFonts w:hint="eastAsia" w:ascii="仿宋" w:hAnsi="仿宋" w:cs="Arial"/>
          <w:szCs w:val="32"/>
          <w:shd w:val="clear" w:color="auto" w:fill="FFFFFF"/>
        </w:rPr>
        <w:t xml:space="preserve"> </w:t>
      </w:r>
      <w:r>
        <w:rPr>
          <w:rFonts w:ascii="仿宋" w:hAnsi="仿宋" w:cs="Arial"/>
          <w:szCs w:val="32"/>
          <w:shd w:val="clear" w:color="auto" w:fill="FFFFFF"/>
        </w:rPr>
        <w:t>5466-2013</w:t>
      </w:r>
      <w:r>
        <w:rPr>
          <w:rFonts w:hint="eastAsia" w:ascii="仿宋" w:hAnsi="仿宋" w:cs="Arial"/>
          <w:szCs w:val="32"/>
          <w:shd w:val="clear" w:color="auto" w:fill="FFFFFF"/>
        </w:rPr>
        <w:t>）第3.2.2条均规定：“油气井井口距高压线及其他永久性设施不小于75m；距民宅不小于100m；距铁路及高速公路不小于200m；距学校、医院、油库、人口密集及高危场所等不小于500m”。《石油天然气钻井井控技术规范》（GB/T 31033-2014）第4.1条、《钻前工程及井场布置技术要求》（</w:t>
      </w:r>
      <w:r>
        <w:rPr>
          <w:rFonts w:ascii="仿宋" w:hAnsi="仿宋" w:cs="Arial"/>
          <w:szCs w:val="32"/>
          <w:shd w:val="clear" w:color="auto" w:fill="FFFFFF"/>
        </w:rPr>
        <w:t>SY/T</w:t>
      </w:r>
      <w:r>
        <w:rPr>
          <w:rFonts w:hint="eastAsia" w:ascii="仿宋" w:hAnsi="仿宋" w:cs="Arial"/>
          <w:szCs w:val="32"/>
          <w:shd w:val="clear" w:color="auto" w:fill="FFFFFF"/>
        </w:rPr>
        <w:t xml:space="preserve"> </w:t>
      </w:r>
      <w:r>
        <w:rPr>
          <w:rFonts w:ascii="仿宋" w:hAnsi="仿宋" w:cs="Arial"/>
          <w:szCs w:val="32"/>
          <w:shd w:val="clear" w:color="auto" w:fill="FFFFFF"/>
        </w:rPr>
        <w:t>5466-2013</w:t>
      </w:r>
      <w:r>
        <w:rPr>
          <w:rFonts w:hint="eastAsia" w:ascii="仿宋" w:hAnsi="仿宋" w:cs="Arial"/>
          <w:szCs w:val="32"/>
          <w:shd w:val="clear" w:color="auto" w:fill="FFFFFF"/>
        </w:rPr>
        <w:t>）第3.2.2条均规定：“井筒与采掘坑道、矿井坑道之间的距离不小于100m”。《石油天然气钻井井控技术规范》（GB/T 31033-2014）第4.1条规定“油气井之间的井口间距不小于2m；高压油气井、高含硫油气井井口距其他井井口之间的距离大于钻进本井所用钻机的钻台长度，且不小于8m”。</w:t>
      </w:r>
    </w:p>
    <w:p>
      <w:pPr>
        <w:wordWrap w:val="0"/>
        <w:ind w:firstLine="612" w:firstLineChars="196"/>
        <w:rPr>
          <w:rFonts w:ascii="仿宋" w:hAnsi="仿宋" w:cs="Arial"/>
          <w:szCs w:val="32"/>
          <w:shd w:val="clear" w:color="auto" w:fill="FFFFFF"/>
        </w:rPr>
      </w:pPr>
      <w:r>
        <w:rPr>
          <w:rFonts w:hint="eastAsia" w:ascii="仿宋" w:hAnsi="仿宋" w:cs="Arial"/>
          <w:szCs w:val="32"/>
          <w:shd w:val="clear" w:color="auto" w:fill="FFFFFF"/>
        </w:rPr>
        <w:t>（三）石油天然气站场、钻井井场平面布置设备、设施之间防火间距：《石油天然气工程设计防火规范》（G</w:t>
      </w:r>
      <w:r>
        <w:rPr>
          <w:rFonts w:ascii="仿宋" w:hAnsi="仿宋" w:cs="Arial"/>
          <w:szCs w:val="32"/>
          <w:shd w:val="clear" w:color="auto" w:fill="FFFFFF"/>
        </w:rPr>
        <w:t>B</w:t>
      </w:r>
      <w:r>
        <w:rPr>
          <w:rFonts w:hint="eastAsia" w:ascii="仿宋" w:hAnsi="仿宋" w:cs="Arial"/>
          <w:szCs w:val="32"/>
          <w:shd w:val="clear" w:color="auto" w:fill="FFFFFF"/>
        </w:rPr>
        <w:t xml:space="preserve"> </w:t>
      </w:r>
      <w:r>
        <w:rPr>
          <w:rFonts w:ascii="仿宋" w:hAnsi="仿宋" w:cs="Arial"/>
          <w:szCs w:val="32"/>
          <w:shd w:val="clear" w:color="auto" w:fill="FFFFFF"/>
        </w:rPr>
        <w:t>50183-20</w:t>
      </w:r>
      <w:r>
        <w:rPr>
          <w:rFonts w:hint="eastAsia" w:ascii="仿宋" w:hAnsi="仿宋" w:cs="Arial"/>
          <w:szCs w:val="32"/>
          <w:shd w:val="clear" w:color="auto" w:fill="FFFFFF"/>
        </w:rPr>
        <w:t>04）第5章对石油天然气站场总平面布置做出了具体规定，其中第5</w:t>
      </w:r>
      <w:r>
        <w:rPr>
          <w:rFonts w:ascii="仿宋" w:hAnsi="仿宋" w:cs="Arial"/>
          <w:szCs w:val="32"/>
          <w:shd w:val="clear" w:color="auto" w:fill="FFFFFF"/>
        </w:rPr>
        <w:t>.2.1</w:t>
      </w:r>
      <w:r>
        <w:rPr>
          <w:rFonts w:hint="eastAsia" w:ascii="仿宋" w:hAnsi="仿宋" w:cs="Arial"/>
          <w:szCs w:val="32"/>
          <w:shd w:val="clear" w:color="auto" w:fill="FFFFFF"/>
        </w:rPr>
        <w:t>、第5</w:t>
      </w:r>
      <w:r>
        <w:rPr>
          <w:rFonts w:ascii="仿宋" w:hAnsi="仿宋" w:cs="Arial"/>
          <w:szCs w:val="32"/>
          <w:shd w:val="clear" w:color="auto" w:fill="FFFFFF"/>
        </w:rPr>
        <w:t>.2.2</w:t>
      </w:r>
      <w:r>
        <w:rPr>
          <w:rFonts w:hint="eastAsia" w:ascii="仿宋" w:hAnsi="仿宋" w:cs="Arial"/>
          <w:szCs w:val="32"/>
          <w:shd w:val="clear" w:color="auto" w:fill="FFFFFF"/>
        </w:rPr>
        <w:t>、第5</w:t>
      </w:r>
      <w:r>
        <w:rPr>
          <w:rFonts w:ascii="仿宋" w:hAnsi="仿宋" w:cs="Arial"/>
          <w:szCs w:val="32"/>
          <w:shd w:val="clear" w:color="auto" w:fill="FFFFFF"/>
        </w:rPr>
        <w:t>.2.3</w:t>
      </w:r>
      <w:r>
        <w:rPr>
          <w:rFonts w:hint="eastAsia" w:ascii="仿宋" w:hAnsi="仿宋" w:cs="Arial"/>
          <w:szCs w:val="32"/>
          <w:shd w:val="clear" w:color="auto" w:fill="FFFFFF"/>
        </w:rPr>
        <w:t>、第5</w:t>
      </w:r>
      <w:r>
        <w:rPr>
          <w:rFonts w:ascii="仿宋" w:hAnsi="仿宋" w:cs="Arial"/>
          <w:szCs w:val="32"/>
          <w:shd w:val="clear" w:color="auto" w:fill="FFFFFF"/>
        </w:rPr>
        <w:t>.2.4</w:t>
      </w:r>
      <w:r>
        <w:rPr>
          <w:rFonts w:hint="eastAsia" w:ascii="仿宋" w:hAnsi="仿宋" w:cs="Arial"/>
          <w:szCs w:val="32"/>
          <w:shd w:val="clear" w:color="auto" w:fill="FFFFFF"/>
        </w:rPr>
        <w:t>条规定了站场平面布置的防火间距。《石油天然气工程设计防火规范》（G</w:t>
      </w:r>
      <w:r>
        <w:rPr>
          <w:rFonts w:ascii="仿宋" w:hAnsi="仿宋" w:cs="Arial"/>
          <w:szCs w:val="32"/>
          <w:shd w:val="clear" w:color="auto" w:fill="FFFFFF"/>
        </w:rPr>
        <w:t>B</w:t>
      </w:r>
      <w:r>
        <w:rPr>
          <w:rFonts w:hint="eastAsia" w:ascii="仿宋" w:hAnsi="仿宋" w:cs="Arial"/>
          <w:szCs w:val="32"/>
          <w:shd w:val="clear" w:color="auto" w:fill="FFFFFF"/>
        </w:rPr>
        <w:t xml:space="preserve"> </w:t>
      </w:r>
      <w:r>
        <w:rPr>
          <w:rFonts w:ascii="仿宋" w:hAnsi="仿宋" w:cs="Arial"/>
          <w:szCs w:val="32"/>
          <w:shd w:val="clear" w:color="auto" w:fill="FFFFFF"/>
        </w:rPr>
        <w:t>50183-20</w:t>
      </w:r>
      <w:r>
        <w:rPr>
          <w:rFonts w:hint="eastAsia" w:ascii="仿宋" w:hAnsi="仿宋" w:cs="Arial"/>
          <w:szCs w:val="32"/>
          <w:shd w:val="clear" w:color="auto" w:fill="FFFFFF"/>
        </w:rPr>
        <w:t>04）、《石油天然气钻井井控技术规范》（GB/T 31033-2014）、《石油天然气钻井、开发、储运防火防爆安全生产技术规程》（</w:t>
      </w:r>
      <w:r>
        <w:rPr>
          <w:rFonts w:ascii="仿宋" w:hAnsi="仿宋" w:cs="Arial"/>
          <w:szCs w:val="32"/>
          <w:shd w:val="clear" w:color="auto" w:fill="FFFFFF"/>
        </w:rPr>
        <w:t>SY</w:t>
      </w:r>
      <w:r>
        <w:rPr>
          <w:rFonts w:hint="eastAsia" w:ascii="仿宋" w:hAnsi="仿宋" w:cs="Arial"/>
          <w:szCs w:val="32"/>
          <w:shd w:val="clear" w:color="auto" w:fill="FFFFFF"/>
        </w:rPr>
        <w:t xml:space="preserve"> </w:t>
      </w:r>
      <w:r>
        <w:rPr>
          <w:rFonts w:ascii="仿宋" w:hAnsi="仿宋" w:cs="Arial"/>
          <w:szCs w:val="32"/>
          <w:shd w:val="clear" w:color="auto" w:fill="FFFFFF"/>
        </w:rPr>
        <w:t>5225-2012</w:t>
      </w:r>
      <w:r>
        <w:rPr>
          <w:rFonts w:hint="eastAsia" w:ascii="仿宋" w:hAnsi="仿宋" w:cs="Arial"/>
          <w:szCs w:val="32"/>
          <w:shd w:val="clear" w:color="auto" w:fill="FFFFFF"/>
        </w:rPr>
        <w:t>）对生产井场、钻井井场平面布置的设备设施之间距离做出了具体规定。</w:t>
      </w:r>
    </w:p>
    <w:p>
      <w:pPr>
        <w:wordWrap w:val="0"/>
        <w:ind w:firstLine="624" w:firstLineChars="200"/>
        <w:rPr>
          <w:rFonts w:ascii="黑体" w:hAnsi="黑体" w:eastAsia="黑体" w:cs="Arial"/>
          <w:szCs w:val="32"/>
          <w:shd w:val="clear" w:color="auto" w:fill="FFFFFF"/>
        </w:rPr>
      </w:pPr>
      <w:r>
        <w:rPr>
          <w:rFonts w:hint="eastAsia" w:ascii="黑体" w:hAnsi="黑体" w:eastAsia="黑体" w:cs="Arial"/>
          <w:szCs w:val="32"/>
          <w:shd w:val="clear" w:color="auto" w:fill="FFFFFF"/>
        </w:rPr>
        <w:t>九、钻井、井下作业工程未按照设计要求正确配备、安装井控设施、设备，储备加重材料；使用的井架、防喷器等未经检测、检验合格</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井控装备是实施油气井压力控制、预防井喷和防止井喷失控的重要装备。井控设备能在钻井过程中对地层压力、地层流体、钻井主要参数、钻井液参数等进行准确监测和预报，当发生溢流、井喷时，能迅速控制井眼中流体的排放，并及时泵入压井液重建井底与地层之间的压力平衡。一整套井控设备应包括：防喷器组及控制系统、井控管汇、内防喷工具、钻井液加重等处理设备。《钻井井场、设备、作业安全技术规程》（SY 5974-2014）第7.3.1和7.5条规定：“井控装置的试压和管理要求，各油气田应有专门机构负责井控装置的管理、维修和定期现场检查工作”；《石油天然气安全规程》（</w:t>
      </w:r>
      <w:r>
        <w:rPr>
          <w:rFonts w:ascii="仿宋" w:hAnsi="仿宋" w:cs="Arial"/>
          <w:szCs w:val="32"/>
          <w:shd w:val="clear" w:color="auto" w:fill="FFFFFF"/>
        </w:rPr>
        <w:t>AQ</w:t>
      </w:r>
      <w:r>
        <w:rPr>
          <w:rFonts w:hint="eastAsia" w:ascii="仿宋" w:hAnsi="仿宋" w:cs="Arial"/>
          <w:szCs w:val="32"/>
          <w:shd w:val="clear" w:color="auto" w:fill="FFFFFF"/>
        </w:rPr>
        <w:t xml:space="preserve"> </w:t>
      </w:r>
      <w:r>
        <w:rPr>
          <w:rFonts w:ascii="仿宋" w:hAnsi="仿宋" w:cs="Arial"/>
          <w:szCs w:val="32"/>
          <w:shd w:val="clear" w:color="auto" w:fill="FFFFFF"/>
        </w:rPr>
        <w:t>2012-2007</w:t>
      </w:r>
      <w:r>
        <w:rPr>
          <w:rFonts w:hint="eastAsia" w:ascii="仿宋" w:hAnsi="仿宋" w:cs="Arial"/>
          <w:szCs w:val="32"/>
          <w:shd w:val="clear" w:color="auto" w:fill="FFFFFF"/>
        </w:rPr>
        <w:t>）第5.2.3.4条、《石油天然气钻井井控技术规范》（</w:t>
      </w:r>
      <w:r>
        <w:rPr>
          <w:rFonts w:ascii="仿宋" w:hAnsi="仿宋" w:cs="Arial"/>
          <w:szCs w:val="32"/>
          <w:shd w:val="clear" w:color="auto" w:fill="FFFFFF"/>
        </w:rPr>
        <w:t>GB/T</w:t>
      </w:r>
      <w:r>
        <w:rPr>
          <w:rFonts w:hint="eastAsia" w:ascii="仿宋" w:hAnsi="仿宋" w:cs="Arial"/>
          <w:szCs w:val="32"/>
          <w:shd w:val="clear" w:color="auto" w:fill="FFFFFF"/>
        </w:rPr>
        <w:t xml:space="preserve"> </w:t>
      </w:r>
      <w:r>
        <w:rPr>
          <w:rFonts w:ascii="仿宋" w:hAnsi="仿宋" w:cs="Arial"/>
          <w:szCs w:val="32"/>
          <w:shd w:val="clear" w:color="auto" w:fill="FFFFFF"/>
        </w:rPr>
        <w:t>31033-2014</w:t>
      </w:r>
      <w:r>
        <w:rPr>
          <w:rFonts w:hint="eastAsia" w:ascii="仿宋" w:hAnsi="仿宋" w:cs="Arial"/>
          <w:szCs w:val="32"/>
          <w:shd w:val="clear" w:color="auto" w:fill="FFFFFF"/>
        </w:rPr>
        <w:t>）第4.10、5.1条、《井下作业井控技术规程》（</w:t>
      </w:r>
      <w:r>
        <w:rPr>
          <w:rFonts w:ascii="仿宋" w:hAnsi="仿宋" w:cs="Arial"/>
          <w:szCs w:val="32"/>
          <w:shd w:val="clear" w:color="auto" w:fill="FFFFFF"/>
        </w:rPr>
        <w:t>SY/T</w:t>
      </w:r>
      <w:r>
        <w:rPr>
          <w:rFonts w:hint="eastAsia" w:ascii="仿宋" w:hAnsi="仿宋" w:cs="Arial"/>
          <w:szCs w:val="32"/>
          <w:shd w:val="clear" w:color="auto" w:fill="FFFFFF"/>
        </w:rPr>
        <w:t xml:space="preserve"> </w:t>
      </w:r>
      <w:r>
        <w:rPr>
          <w:rFonts w:ascii="仿宋" w:hAnsi="仿宋" w:cs="Arial"/>
          <w:szCs w:val="32"/>
          <w:shd w:val="clear" w:color="auto" w:fill="FFFFFF"/>
        </w:rPr>
        <w:t>6690-2016</w:t>
      </w:r>
      <w:r>
        <w:rPr>
          <w:rFonts w:hint="eastAsia" w:ascii="仿宋" w:hAnsi="仿宋" w:cs="Arial"/>
          <w:szCs w:val="32"/>
          <w:shd w:val="clear" w:color="auto" w:fill="FFFFFF"/>
        </w:rPr>
        <w:t>）第5条分别对钻井作业、井下作业工程的防喷器作出了规定；《石油天然气钻井井控技术规范》（</w:t>
      </w:r>
      <w:r>
        <w:rPr>
          <w:rFonts w:ascii="仿宋" w:hAnsi="仿宋" w:cs="Arial"/>
          <w:szCs w:val="32"/>
          <w:shd w:val="clear" w:color="auto" w:fill="FFFFFF"/>
        </w:rPr>
        <w:t>GB/T 31033-2014</w:t>
      </w:r>
      <w:r>
        <w:rPr>
          <w:rFonts w:hint="eastAsia" w:ascii="仿宋" w:hAnsi="仿宋" w:cs="Arial"/>
          <w:szCs w:val="32"/>
          <w:shd w:val="clear" w:color="auto" w:fill="FFFFFF"/>
        </w:rPr>
        <w:t>）第4.6、4.9条、《井下作业井控技术规程》（</w:t>
      </w:r>
      <w:r>
        <w:rPr>
          <w:rFonts w:ascii="仿宋" w:hAnsi="仿宋" w:cs="Arial"/>
          <w:szCs w:val="32"/>
          <w:shd w:val="clear" w:color="auto" w:fill="FFFFFF"/>
        </w:rPr>
        <w:t>SY/T 6690-2016</w:t>
      </w:r>
      <w:r>
        <w:rPr>
          <w:rFonts w:hint="eastAsia" w:ascii="仿宋" w:hAnsi="仿宋" w:cs="Arial"/>
          <w:szCs w:val="32"/>
          <w:shd w:val="clear" w:color="auto" w:fill="FFFFFF"/>
        </w:rPr>
        <w:t>）第4.2.2、4.2.3条分别对钻井工程和井下作业工程的钻井液、压井液的储备、配比等作出了规定。</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井控装备应执行定期检验制度。《井下作业井控技术规程》（</w:t>
      </w:r>
      <w:r>
        <w:rPr>
          <w:rFonts w:ascii="仿宋" w:hAnsi="仿宋" w:cs="Arial"/>
          <w:szCs w:val="32"/>
          <w:shd w:val="clear" w:color="auto" w:fill="FFFFFF"/>
        </w:rPr>
        <w:t>SY/T 6690-2016</w:t>
      </w:r>
      <w:r>
        <w:rPr>
          <w:rFonts w:hint="eastAsia" w:ascii="仿宋" w:hAnsi="仿宋" w:cs="Arial"/>
          <w:szCs w:val="32"/>
          <w:shd w:val="clear" w:color="auto" w:fill="FFFFFF"/>
        </w:rPr>
        <w:t>）第5.4.1条对井控装备的定期检验作出了规定。《油井井下作业防喷技术规程》（SY</w:t>
      </w:r>
      <w:r>
        <w:rPr>
          <w:rFonts w:ascii="仿宋" w:hAnsi="仿宋" w:cs="Arial"/>
          <w:szCs w:val="32"/>
          <w:shd w:val="clear" w:color="auto" w:fill="FFFFFF"/>
        </w:rPr>
        <w:t>/</w:t>
      </w:r>
      <w:r>
        <w:rPr>
          <w:rFonts w:hint="eastAsia" w:ascii="仿宋" w:hAnsi="仿宋" w:cs="Arial"/>
          <w:szCs w:val="32"/>
          <w:shd w:val="clear" w:color="auto" w:fill="FFFFFF"/>
        </w:rPr>
        <w:t>T 6120-2013）第6.1、6.2条规定：“井控装置由井控车间统一管理、维修和定期检查；井控车间应取得相应资质，配备必要的检验装备与工具，应在资质范围内对井控装置进行维修、检测、现场服务。”《防喷器检查和维修》（SY/T 6160-2014）对防喷器定期检查周期和内容分别作出规定：检查周期分为三月期、一年期和三年期，检查内容应按照相应规定执行。</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石油天然气开采作业中，钻井和井下作业需使用井架、绞车等大型设备，易发生物体打击事故。井架的分级、定期检测为使用单位明确井架的承载能力、安全性能提供可靠依据，是预防井架失去承载能力导致物体打击、坍塌事故的有效手段。《石油钻机、修井机井架分级规范》（</w:t>
      </w:r>
      <w:r>
        <w:rPr>
          <w:rFonts w:ascii="仿宋" w:hAnsi="仿宋" w:cs="Arial"/>
          <w:szCs w:val="32"/>
          <w:shd w:val="clear" w:color="auto" w:fill="FFFFFF"/>
        </w:rPr>
        <w:t>SY 6442-2010</w:t>
      </w:r>
      <w:r>
        <w:rPr>
          <w:rFonts w:hint="eastAsia" w:ascii="仿宋" w:hAnsi="仿宋" w:cs="Arial"/>
          <w:szCs w:val="32"/>
          <w:shd w:val="clear" w:color="auto" w:fill="FFFFFF"/>
        </w:rPr>
        <w:t>）对井架的检测评定周期、分级规则进行了规定。</w:t>
      </w:r>
    </w:p>
    <w:p>
      <w:pPr>
        <w:wordWrap w:val="0"/>
        <w:ind w:firstLine="624" w:firstLineChars="200"/>
        <w:rPr>
          <w:rFonts w:ascii="黑体" w:hAnsi="黑体" w:eastAsia="黑体" w:cs="Arial"/>
          <w:szCs w:val="32"/>
          <w:shd w:val="clear" w:color="auto" w:fill="FFFFFF"/>
        </w:rPr>
      </w:pPr>
      <w:r>
        <w:rPr>
          <w:rFonts w:hint="eastAsia" w:ascii="黑体" w:hAnsi="黑体" w:eastAsia="黑体" w:cs="Arial"/>
          <w:szCs w:val="32"/>
          <w:shd w:val="clear" w:color="auto" w:fill="FFFFFF"/>
        </w:rPr>
        <w:t>十、放射源、火工品未按照相关标准要求落实管控措施</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《油（气）田非密封型放射源测井卫生防护标准》（GB Z118-2002）中规定：贮存运输容器应为便于搬运和易于放入、取出的容器，而且必须能加锁。其外面除有容器编号和放射性核素名称、活度与标定日期外，还必须有鲜明的电辐射警示标识和“当心电离辐射”字样以及使用单位名称。现场测井操作人员，必须穿戴符合要求的专用工作服、帽子、口罩和手套等个人防护用品，并要做到统一保管和处理。操作强γ放射源时，还应使用铅防护屏和戴铅防护眼镜。供测井用载运放射性物质的专（兼）用交通工具，必须设有固定源罐的安全装置与防护设施，并且能与车上的固定物连锁。《油（气）田测井用放射源贮存库安全规范》（SY 6322-2013）规定：“放射源应单独存放，不应与易燃、易爆、腐蚀性物品等一起存放。放射源贮存应实行双人双锁管理。源罐应能加锁，容易开启，在经受震动、翻倒后放射源不会自动掉出。并应有符合GB2894要求的电离辐射警告标志”。</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石油天然气物探、射孔等作业过程使用的火工品，属于民用爆炸物品，应按照《民用爆炸物品安全管理条例》要求，进行民用爆炸物品的购买、运输、爆破作业、储存。《民用爆炸物品安全管理条例》第三章、第四章、第五章、第六章分别对销售和购买、运输、爆破作业、储存各环节作出了明确规定。</w:t>
      </w:r>
    </w:p>
    <w:p>
      <w:pPr>
        <w:wordWrap w:val="0"/>
        <w:ind w:firstLine="624" w:firstLineChars="200"/>
        <w:rPr>
          <w:rFonts w:ascii="黑体" w:hAnsi="黑体" w:eastAsia="黑体" w:cs="Arial"/>
          <w:szCs w:val="32"/>
          <w:shd w:val="clear" w:color="auto" w:fill="FFFFFF"/>
        </w:rPr>
      </w:pPr>
      <w:r>
        <w:rPr>
          <w:rFonts w:hint="eastAsia" w:ascii="黑体" w:hAnsi="黑体" w:eastAsia="黑体" w:cs="Arial"/>
          <w:szCs w:val="32"/>
          <w:shd w:val="clear" w:color="auto" w:fill="FFFFFF"/>
        </w:rPr>
        <w:t>十一、抽油机外露的旋转部位距离地面低于2米未安装防护装置，或抽油机刹车装置不可靠</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石油天然气开采业中物体打击事故在事故总数中占比较大，采油集输作业环节物体打击事故集中在井场抽油机运行、检修过程中，主要原因是抽油机无可靠防护和抽油机刹车失灵。《陆上油气田油气集输安全规程》（</w:t>
      </w:r>
      <w:r>
        <w:rPr>
          <w:rFonts w:ascii="仿宋" w:hAnsi="仿宋" w:cs="Arial"/>
          <w:szCs w:val="32"/>
          <w:shd w:val="clear" w:color="auto" w:fill="FFFFFF"/>
        </w:rPr>
        <w:t>SY</w:t>
      </w:r>
      <w:r>
        <w:rPr>
          <w:rFonts w:hint="eastAsia" w:ascii="仿宋" w:hAnsi="仿宋" w:cs="Arial"/>
          <w:szCs w:val="32"/>
          <w:shd w:val="clear" w:color="auto" w:fill="FFFFFF"/>
        </w:rPr>
        <w:t xml:space="preserve"> </w:t>
      </w:r>
      <w:r>
        <w:rPr>
          <w:rFonts w:ascii="仿宋" w:hAnsi="仿宋" w:cs="Arial"/>
          <w:szCs w:val="32"/>
          <w:shd w:val="clear" w:color="auto" w:fill="FFFFFF"/>
        </w:rPr>
        <w:t>6320-2016</w:t>
      </w:r>
      <w:r>
        <w:rPr>
          <w:rFonts w:hint="eastAsia" w:ascii="仿宋" w:hAnsi="仿宋" w:cs="Arial"/>
          <w:szCs w:val="32"/>
          <w:shd w:val="clear" w:color="auto" w:fill="FFFFFF"/>
        </w:rPr>
        <w:t>）第4.1.3条规定：“抽油机外露的旋转部位在低于2m时，应安装防护装置”。《抽油机防护推荐作法》（S</w:t>
      </w:r>
      <w:r>
        <w:rPr>
          <w:rFonts w:ascii="仿宋" w:hAnsi="仿宋" w:cs="Arial"/>
          <w:szCs w:val="32"/>
          <w:shd w:val="clear" w:color="auto" w:fill="FFFFFF"/>
        </w:rPr>
        <w:t>Y/T</w:t>
      </w:r>
      <w:r>
        <w:rPr>
          <w:rFonts w:hint="eastAsia" w:ascii="仿宋" w:hAnsi="仿宋" w:cs="Arial"/>
          <w:szCs w:val="32"/>
          <w:shd w:val="clear" w:color="auto" w:fill="FFFFFF"/>
        </w:rPr>
        <w:t xml:space="preserve"> </w:t>
      </w:r>
      <w:r>
        <w:rPr>
          <w:rFonts w:ascii="仿宋" w:hAnsi="仿宋" w:cs="Arial"/>
          <w:szCs w:val="32"/>
          <w:shd w:val="clear" w:color="auto" w:fill="FFFFFF"/>
        </w:rPr>
        <w:t>6518-2012</w:t>
      </w:r>
      <w:r>
        <w:rPr>
          <w:rFonts w:hint="eastAsia" w:ascii="仿宋" w:hAnsi="仿宋" w:cs="Arial"/>
          <w:szCs w:val="32"/>
          <w:shd w:val="clear" w:color="auto" w:fill="FFFFFF"/>
        </w:rPr>
        <w:t>）第4</w:t>
      </w:r>
      <w:r>
        <w:rPr>
          <w:rFonts w:ascii="仿宋" w:hAnsi="仿宋" w:cs="Arial"/>
          <w:szCs w:val="32"/>
          <w:shd w:val="clear" w:color="auto" w:fill="FFFFFF"/>
        </w:rPr>
        <w:t>.5</w:t>
      </w:r>
      <w:r>
        <w:rPr>
          <w:rFonts w:hint="eastAsia" w:ascii="仿宋" w:hAnsi="仿宋" w:cs="Arial"/>
          <w:szCs w:val="32"/>
          <w:shd w:val="clear" w:color="auto" w:fill="FFFFFF"/>
        </w:rPr>
        <w:t>条规定：“驴头和悬绳器下行程时，驴头最低点距地面或工作平台高度小于2</w:t>
      </w:r>
      <w:r>
        <w:rPr>
          <w:rFonts w:ascii="仿宋" w:hAnsi="仿宋" w:cs="Arial"/>
          <w:szCs w:val="32"/>
          <w:shd w:val="clear" w:color="auto" w:fill="FFFFFF"/>
        </w:rPr>
        <w:t>134</w:t>
      </w:r>
      <w:r>
        <w:rPr>
          <w:rFonts w:hint="eastAsia" w:ascii="仿宋" w:hAnsi="仿宋" w:cs="Arial"/>
          <w:szCs w:val="32"/>
          <w:shd w:val="clear" w:color="auto" w:fill="FFFFFF"/>
        </w:rPr>
        <w:t>mm（8</w:t>
      </w:r>
      <w:r>
        <w:rPr>
          <w:rFonts w:ascii="仿宋" w:hAnsi="仿宋" w:cs="Arial"/>
          <w:szCs w:val="32"/>
          <w:shd w:val="clear" w:color="auto" w:fill="FFFFFF"/>
        </w:rPr>
        <w:t>4</w:t>
      </w:r>
      <w:r>
        <w:rPr>
          <w:rFonts w:hint="eastAsia" w:ascii="仿宋" w:hAnsi="仿宋" w:cs="Arial"/>
          <w:szCs w:val="32"/>
          <w:shd w:val="clear" w:color="auto" w:fill="FFFFFF"/>
        </w:rPr>
        <w:t>in）时，应安装符合标准的防护栏”。《陆上油气田油气集输安全规程》（</w:t>
      </w:r>
      <w:r>
        <w:rPr>
          <w:rFonts w:ascii="仿宋" w:hAnsi="仿宋" w:cs="Arial"/>
          <w:szCs w:val="32"/>
          <w:shd w:val="clear" w:color="auto" w:fill="FFFFFF"/>
        </w:rPr>
        <w:t>SY</w:t>
      </w:r>
      <w:r>
        <w:rPr>
          <w:rFonts w:hint="eastAsia" w:ascii="仿宋" w:hAnsi="仿宋" w:cs="Arial"/>
          <w:szCs w:val="32"/>
          <w:shd w:val="clear" w:color="auto" w:fill="FFFFFF"/>
        </w:rPr>
        <w:t xml:space="preserve"> </w:t>
      </w:r>
      <w:r>
        <w:rPr>
          <w:rFonts w:ascii="仿宋" w:hAnsi="仿宋" w:cs="Arial"/>
          <w:szCs w:val="32"/>
          <w:shd w:val="clear" w:color="auto" w:fill="FFFFFF"/>
        </w:rPr>
        <w:t>6320-2016</w:t>
      </w:r>
      <w:r>
        <w:rPr>
          <w:rFonts w:hint="eastAsia" w:ascii="仿宋" w:hAnsi="仿宋" w:cs="Arial"/>
          <w:szCs w:val="32"/>
          <w:shd w:val="clear" w:color="auto" w:fill="FFFFFF"/>
        </w:rPr>
        <w:t>）第4.1.5条规定：“抽油机刹车装置应可靠”。</w:t>
      </w:r>
    </w:p>
    <w:p>
      <w:pPr>
        <w:wordWrap w:val="0"/>
        <w:ind w:firstLine="624" w:firstLineChars="200"/>
        <w:rPr>
          <w:rFonts w:ascii="黑体" w:hAnsi="黑体" w:eastAsia="黑体" w:cs="Arial"/>
          <w:szCs w:val="32"/>
          <w:shd w:val="clear" w:color="auto" w:fill="FFFFFF"/>
        </w:rPr>
      </w:pPr>
      <w:r>
        <w:rPr>
          <w:rFonts w:hint="eastAsia" w:ascii="黑体" w:hAnsi="黑体" w:eastAsia="黑体" w:cs="Arial"/>
          <w:szCs w:val="32"/>
          <w:shd w:val="clear" w:color="auto" w:fill="FFFFFF"/>
        </w:rPr>
        <w:t>十二、涉及可燃和有毒有害气体泄漏的场所未按国家标准、行业标准设置检测报警装置，爆炸危险场所未按国家标准安装使用防爆电气设备</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可能积聚可燃气体的石油天然气站场和储运设施应按照《石油天然气工程设计防火规范》（G</w:t>
      </w:r>
      <w:r>
        <w:rPr>
          <w:rFonts w:ascii="仿宋" w:hAnsi="仿宋" w:cs="Arial"/>
          <w:szCs w:val="32"/>
          <w:shd w:val="clear" w:color="auto" w:fill="FFFFFF"/>
        </w:rPr>
        <w:t>B</w:t>
      </w:r>
      <w:r>
        <w:rPr>
          <w:rFonts w:hint="eastAsia" w:ascii="仿宋" w:hAnsi="仿宋" w:cs="Arial"/>
          <w:szCs w:val="32"/>
          <w:shd w:val="clear" w:color="auto" w:fill="FFFFFF"/>
        </w:rPr>
        <w:t xml:space="preserve"> </w:t>
      </w:r>
      <w:r>
        <w:rPr>
          <w:rFonts w:ascii="仿宋" w:hAnsi="仿宋" w:cs="Arial"/>
          <w:szCs w:val="32"/>
          <w:shd w:val="clear" w:color="auto" w:fill="FFFFFF"/>
        </w:rPr>
        <w:t>50183-20</w:t>
      </w:r>
      <w:r>
        <w:rPr>
          <w:rFonts w:hint="eastAsia" w:ascii="仿宋" w:hAnsi="仿宋" w:cs="Arial"/>
          <w:szCs w:val="32"/>
          <w:shd w:val="clear" w:color="auto" w:fill="FFFFFF"/>
        </w:rPr>
        <w:t>04）、《油气田及管道工程仪表控制系统设计规范》（G</w:t>
      </w:r>
      <w:r>
        <w:rPr>
          <w:rFonts w:ascii="仿宋" w:hAnsi="仿宋" w:cs="Arial"/>
          <w:szCs w:val="32"/>
          <w:shd w:val="clear" w:color="auto" w:fill="FFFFFF"/>
        </w:rPr>
        <w:t>B/T</w:t>
      </w:r>
      <w:r>
        <w:rPr>
          <w:rFonts w:hint="eastAsia" w:ascii="仿宋" w:hAnsi="仿宋" w:cs="Arial"/>
          <w:szCs w:val="32"/>
          <w:shd w:val="clear" w:color="auto" w:fill="FFFFFF"/>
        </w:rPr>
        <w:t xml:space="preserve"> </w:t>
      </w:r>
      <w:r>
        <w:rPr>
          <w:rFonts w:ascii="仿宋" w:hAnsi="仿宋" w:cs="Arial"/>
          <w:szCs w:val="32"/>
          <w:shd w:val="clear" w:color="auto" w:fill="FFFFFF"/>
        </w:rPr>
        <w:t>50892-2013</w:t>
      </w:r>
      <w:r>
        <w:rPr>
          <w:rFonts w:hint="eastAsia" w:ascii="仿宋" w:hAnsi="仿宋" w:cs="Arial"/>
          <w:szCs w:val="32"/>
          <w:shd w:val="clear" w:color="auto" w:fill="FFFFFF"/>
        </w:rPr>
        <w:t>）、《石油天然气工程可燃气体检测报警系统安全规范》（SY 6503-2016）要求设置检测报警装置。检测报警装置设置的内容按照《石油化工可燃气体和有毒气体检测报警设计规范》（GB 50493-2009）执行，包括检测报警类别，装置的数量和位置，检测报警值的大小、信息远传、连续记录和存储、声光报警等要求。</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《硫化氢环境天然气采集与处理安全规范》（</w:t>
      </w:r>
      <w:r>
        <w:rPr>
          <w:rFonts w:ascii="仿宋" w:hAnsi="仿宋" w:cs="Arial"/>
          <w:szCs w:val="32"/>
          <w:shd w:val="clear" w:color="auto" w:fill="FFFFFF"/>
        </w:rPr>
        <w:t>SY/T</w:t>
      </w:r>
      <w:r>
        <w:rPr>
          <w:rFonts w:hint="eastAsia" w:ascii="仿宋" w:hAnsi="仿宋" w:cs="Arial"/>
          <w:szCs w:val="32"/>
          <w:shd w:val="clear" w:color="auto" w:fill="FFFFFF"/>
        </w:rPr>
        <w:t xml:space="preserve"> </w:t>
      </w:r>
      <w:r>
        <w:rPr>
          <w:rFonts w:ascii="仿宋" w:hAnsi="仿宋" w:cs="Arial"/>
          <w:szCs w:val="32"/>
          <w:shd w:val="clear" w:color="auto" w:fill="FFFFFF"/>
        </w:rPr>
        <w:t>6137-2017</w:t>
      </w:r>
      <w:r>
        <w:rPr>
          <w:rFonts w:hint="eastAsia" w:ascii="仿宋" w:hAnsi="仿宋" w:cs="Arial"/>
          <w:szCs w:val="32"/>
          <w:shd w:val="clear" w:color="auto" w:fill="FFFFFF"/>
        </w:rPr>
        <w:t>）第4.2.3.5条规定：“硫化氢平均含量大于或等于5%（体积分数）的天然气井，其井口方井池内宜设置固定式硫化氢检测仪器”；第4.2.4.6条规定：“硫化氢平均含量大于或等于5%（体积分数）的天然气处理厂内，在有毒可燃气体可能泄漏并可能达到最高允许浓度的场所，应设置固定式硫化氢监测系统”；《硫化氢环境钻井场所作业安全规范》（</w:t>
      </w:r>
      <w:r>
        <w:rPr>
          <w:rFonts w:ascii="仿宋" w:hAnsi="仿宋" w:cs="Arial"/>
          <w:szCs w:val="32"/>
          <w:shd w:val="clear" w:color="auto" w:fill="FFFFFF"/>
        </w:rPr>
        <w:t>SY/T</w:t>
      </w:r>
      <w:r>
        <w:rPr>
          <w:rFonts w:hint="eastAsia" w:ascii="仿宋" w:hAnsi="仿宋" w:cs="Arial"/>
          <w:szCs w:val="32"/>
          <w:shd w:val="clear" w:color="auto" w:fill="FFFFFF"/>
        </w:rPr>
        <w:t xml:space="preserve"> </w:t>
      </w:r>
      <w:r>
        <w:rPr>
          <w:rFonts w:ascii="仿宋" w:hAnsi="仿宋" w:cs="Arial"/>
          <w:szCs w:val="32"/>
          <w:shd w:val="clear" w:color="auto" w:fill="FFFFFF"/>
        </w:rPr>
        <w:t>5087-2017</w:t>
      </w:r>
      <w:r>
        <w:rPr>
          <w:rFonts w:hint="eastAsia" w:ascii="仿宋" w:hAnsi="仿宋" w:cs="Arial"/>
          <w:szCs w:val="32"/>
          <w:shd w:val="clear" w:color="auto" w:fill="FFFFFF"/>
        </w:rPr>
        <w:t>）第6.1.3.1条规定：“在可能含硫化氢地区进行钻井作业时，现场应有硫化氢监测仪器”；第6.1.3.2条规定：“硫化氢钻井作业现场应配备一套固定式硫化氢监测系统，并应至少在以下位置安装监测传感器：方井，钻台，钻井出口管、接收罐或振动筛，钻井液循环罐，未列入限制空间计划的所有其他硫化氢可能聚集的区域”；第6.2.2条规定：“在硫化氢环境的陆上井下作业设施至少在以下位置安装固定式硫化氢探头：方井，钻台或操作台，循环池，测试管汇区，分离器”。</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《爆炸危险环境电力装置设计规范》（</w:t>
      </w:r>
      <w:r>
        <w:rPr>
          <w:rFonts w:ascii="仿宋" w:hAnsi="仿宋" w:cs="Arial"/>
          <w:szCs w:val="32"/>
          <w:shd w:val="clear" w:color="auto" w:fill="FFFFFF"/>
        </w:rPr>
        <w:t>GB 50058-2014</w:t>
      </w:r>
      <w:r>
        <w:rPr>
          <w:rFonts w:hint="eastAsia" w:ascii="仿宋" w:hAnsi="仿宋" w:cs="Arial"/>
          <w:szCs w:val="32"/>
          <w:shd w:val="clear" w:color="auto" w:fill="FFFFFF"/>
        </w:rPr>
        <w:t>）、《爆炸性环境第1部分：设备通用要求》（GB 3836.1-2010）和《爆炸性气体环境 第16部分：电气装置的检查与维护》（GB 3836.16-2016）对防爆区域的分类进行了明确的界定，对防爆区域电气设备的选型、安装和使用提出了明确要求。</w:t>
      </w:r>
    </w:p>
    <w:p>
      <w:pPr>
        <w:wordWrap w:val="0"/>
        <w:ind w:firstLine="624" w:firstLineChars="200"/>
        <w:rPr>
          <w:rFonts w:ascii="黑体" w:hAnsi="黑体" w:eastAsia="黑体" w:cs="Arial"/>
          <w:szCs w:val="32"/>
          <w:shd w:val="clear" w:color="auto" w:fill="FFFFFF"/>
        </w:rPr>
      </w:pPr>
      <w:r>
        <w:rPr>
          <w:rFonts w:hint="eastAsia" w:ascii="黑体" w:hAnsi="黑体" w:eastAsia="黑体" w:cs="Arial"/>
          <w:szCs w:val="32"/>
          <w:shd w:val="clear" w:color="auto" w:fill="FFFFFF"/>
        </w:rPr>
        <w:t>十三、油气站场设施、设备的防雷、防静电接地装置安装不符合相关标准规定，或未经定期检测合格</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雷电和静电是石油天然气站场发生火灾爆炸事故的主要原因，防雷、防静电是防范火灾爆炸事故的重要措施。《陕西省气象条例》规定，石油天然气站场防雷电装置应每半年检测一次。《石油天然气工程设计防火规范》（</w:t>
      </w:r>
      <w:r>
        <w:rPr>
          <w:rFonts w:ascii="仿宋" w:hAnsi="仿宋" w:cs="Arial"/>
          <w:szCs w:val="32"/>
          <w:shd w:val="clear" w:color="auto" w:fill="FFFFFF"/>
        </w:rPr>
        <w:t>GB 50183-</w:t>
      </w:r>
      <w:r>
        <w:rPr>
          <w:rFonts w:hint="eastAsia" w:ascii="仿宋" w:hAnsi="仿宋" w:cs="Arial"/>
          <w:szCs w:val="32"/>
          <w:shd w:val="clear" w:color="auto" w:fill="FFFFFF"/>
        </w:rPr>
        <w:t>2004）、《石油与石油设施雷电安全规范》（</w:t>
      </w:r>
      <w:r>
        <w:rPr>
          <w:rFonts w:ascii="仿宋" w:hAnsi="仿宋" w:cs="Arial"/>
          <w:szCs w:val="32"/>
          <w:shd w:val="clear" w:color="auto" w:fill="FFFFFF"/>
        </w:rPr>
        <w:t>GB 15599-2009</w:t>
      </w:r>
      <w:r>
        <w:rPr>
          <w:rFonts w:hint="eastAsia" w:ascii="仿宋" w:hAnsi="仿宋" w:cs="Arial"/>
          <w:szCs w:val="32"/>
          <w:shd w:val="clear" w:color="auto" w:fill="FFFFFF"/>
        </w:rPr>
        <w:t>）对石油天然气站场的防雷接地装置作出具体规定。《石油天然气工程设计防火规范》（</w:t>
      </w:r>
      <w:r>
        <w:rPr>
          <w:rFonts w:ascii="仿宋" w:hAnsi="仿宋" w:cs="Arial"/>
          <w:szCs w:val="32"/>
          <w:shd w:val="clear" w:color="auto" w:fill="FFFFFF"/>
        </w:rPr>
        <w:t>GB</w:t>
      </w:r>
      <w:r>
        <w:rPr>
          <w:rFonts w:hint="eastAsia" w:ascii="仿宋" w:hAnsi="仿宋" w:cs="Arial"/>
          <w:szCs w:val="32"/>
          <w:shd w:val="clear" w:color="auto" w:fill="FFFFFF"/>
        </w:rPr>
        <w:t xml:space="preserve"> </w:t>
      </w:r>
      <w:r>
        <w:rPr>
          <w:rFonts w:ascii="仿宋" w:hAnsi="仿宋" w:cs="Arial"/>
          <w:szCs w:val="32"/>
          <w:shd w:val="clear" w:color="auto" w:fill="FFFFFF"/>
        </w:rPr>
        <w:t>50183-20</w:t>
      </w:r>
      <w:r>
        <w:rPr>
          <w:rFonts w:hint="eastAsia" w:ascii="仿宋" w:hAnsi="仿宋" w:cs="Arial"/>
          <w:szCs w:val="32"/>
          <w:shd w:val="clear" w:color="auto" w:fill="FFFFFF"/>
        </w:rPr>
        <w:t>04）、《油气田防静电接地设计规范》（</w:t>
      </w:r>
      <w:r>
        <w:rPr>
          <w:rFonts w:ascii="仿宋" w:hAnsi="仿宋" w:cs="Arial"/>
          <w:szCs w:val="32"/>
          <w:shd w:val="clear" w:color="auto" w:fill="FFFFFF"/>
        </w:rPr>
        <w:t>SY/T 0060-2017</w:t>
      </w:r>
      <w:r>
        <w:rPr>
          <w:rFonts w:hint="eastAsia" w:ascii="仿宋" w:hAnsi="仿宋" w:cs="Arial"/>
          <w:szCs w:val="32"/>
          <w:shd w:val="clear" w:color="auto" w:fill="FFFFFF"/>
        </w:rPr>
        <w:t>）对石油天然气站场的防静电设施设置位置作出具体规定。</w:t>
      </w:r>
    </w:p>
    <w:p>
      <w:pPr>
        <w:wordWrap w:val="0"/>
        <w:ind w:firstLine="624" w:firstLineChars="200"/>
        <w:rPr>
          <w:rFonts w:ascii="黑体" w:hAnsi="黑体" w:eastAsia="黑体" w:cs="Arial"/>
          <w:szCs w:val="32"/>
          <w:shd w:val="clear" w:color="auto" w:fill="FFFFFF"/>
        </w:rPr>
      </w:pPr>
      <w:r>
        <w:rPr>
          <w:rFonts w:hint="eastAsia" w:ascii="黑体" w:hAnsi="黑体" w:eastAsia="黑体" w:cs="Arial"/>
          <w:szCs w:val="32"/>
          <w:shd w:val="clear" w:color="auto" w:fill="FFFFFF"/>
        </w:rPr>
        <w:t>十四、进出天然气站场的天然气管道未设置截断阀，或截断阀设置不符合国家标准要求</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《气田集输设计规范》（</w:t>
      </w:r>
      <w:r>
        <w:rPr>
          <w:rFonts w:ascii="仿宋" w:hAnsi="仿宋" w:cs="Arial"/>
          <w:szCs w:val="32"/>
          <w:shd w:val="clear" w:color="auto" w:fill="FFFFFF"/>
        </w:rPr>
        <w:t>GB</w:t>
      </w:r>
      <w:r>
        <w:rPr>
          <w:rFonts w:hint="eastAsia" w:ascii="仿宋" w:hAnsi="仿宋" w:cs="Arial"/>
          <w:szCs w:val="32"/>
          <w:shd w:val="clear" w:color="auto" w:fill="FFFFFF"/>
        </w:rPr>
        <w:t xml:space="preserve"> </w:t>
      </w:r>
      <w:r>
        <w:rPr>
          <w:rFonts w:ascii="仿宋" w:hAnsi="仿宋" w:cs="Arial"/>
          <w:szCs w:val="32"/>
          <w:shd w:val="clear" w:color="auto" w:fill="FFFFFF"/>
        </w:rPr>
        <w:t>50349-2015</w:t>
      </w:r>
      <w:r>
        <w:rPr>
          <w:rFonts w:hint="eastAsia" w:ascii="仿宋" w:hAnsi="仿宋" w:cs="Arial"/>
          <w:szCs w:val="32"/>
          <w:shd w:val="clear" w:color="auto" w:fill="FFFFFF"/>
        </w:rPr>
        <w:t>）第4.7.1条规定：“气井井口应设置井口高低压紧急截断阀”。该标准于2</w:t>
      </w:r>
      <w:r>
        <w:rPr>
          <w:rFonts w:ascii="仿宋" w:hAnsi="仿宋" w:cs="Arial"/>
          <w:szCs w:val="32"/>
          <w:shd w:val="clear" w:color="auto" w:fill="FFFFFF"/>
        </w:rPr>
        <w:t>016</w:t>
      </w:r>
      <w:r>
        <w:rPr>
          <w:rFonts w:hint="eastAsia" w:ascii="仿宋" w:hAnsi="仿宋" w:cs="Arial"/>
          <w:szCs w:val="32"/>
          <w:shd w:val="clear" w:color="auto" w:fill="FFFFFF"/>
        </w:rPr>
        <w:t>年</w:t>
      </w:r>
      <w:r>
        <w:rPr>
          <w:rFonts w:ascii="仿宋" w:hAnsi="仿宋" w:cs="Arial"/>
          <w:szCs w:val="32"/>
          <w:shd w:val="clear" w:color="auto" w:fill="FFFFFF"/>
        </w:rPr>
        <w:t>8</w:t>
      </w:r>
      <w:r>
        <w:rPr>
          <w:rFonts w:hint="eastAsia" w:ascii="仿宋" w:hAnsi="仿宋" w:cs="Arial"/>
          <w:szCs w:val="32"/>
          <w:shd w:val="clear" w:color="auto" w:fill="FFFFFF"/>
        </w:rPr>
        <w:t>月1日起实施，此前设计、建设的气井按照《高含硫化氢气田地面集输系统设计规范》（</w:t>
      </w:r>
      <w:r>
        <w:rPr>
          <w:rFonts w:ascii="仿宋" w:hAnsi="仿宋" w:cs="Arial"/>
          <w:szCs w:val="32"/>
          <w:shd w:val="clear" w:color="auto" w:fill="FFFFFF"/>
        </w:rPr>
        <w:t>SY/T 0612-2014</w:t>
      </w:r>
      <w:r>
        <w:rPr>
          <w:rFonts w:hint="eastAsia" w:ascii="仿宋" w:hAnsi="仿宋" w:cs="Arial"/>
          <w:szCs w:val="32"/>
          <w:shd w:val="clear" w:color="auto" w:fill="FFFFFF"/>
        </w:rPr>
        <w:t>）第4</w:t>
      </w:r>
      <w:r>
        <w:rPr>
          <w:rFonts w:ascii="仿宋" w:hAnsi="仿宋" w:cs="Arial"/>
          <w:szCs w:val="32"/>
          <w:shd w:val="clear" w:color="auto" w:fill="FFFFFF"/>
        </w:rPr>
        <w:t>.4.1</w:t>
      </w:r>
      <w:r>
        <w:rPr>
          <w:rFonts w:hint="eastAsia" w:ascii="仿宋" w:hAnsi="仿宋" w:cs="Arial"/>
          <w:szCs w:val="32"/>
          <w:shd w:val="clear" w:color="auto" w:fill="FFFFFF"/>
        </w:rPr>
        <w:t>条、《石油天然气安全规程》（</w:t>
      </w:r>
      <w:r>
        <w:rPr>
          <w:rFonts w:ascii="仿宋" w:hAnsi="仿宋" w:cs="Arial"/>
          <w:szCs w:val="32"/>
          <w:shd w:val="clear" w:color="auto" w:fill="FFFFFF"/>
        </w:rPr>
        <w:t>AQ</w:t>
      </w:r>
      <w:r>
        <w:rPr>
          <w:rFonts w:hint="eastAsia" w:ascii="仿宋" w:hAnsi="仿宋" w:cs="Arial"/>
          <w:szCs w:val="32"/>
          <w:shd w:val="clear" w:color="auto" w:fill="FFFFFF"/>
        </w:rPr>
        <w:t xml:space="preserve"> </w:t>
      </w:r>
      <w:r>
        <w:rPr>
          <w:rFonts w:ascii="仿宋" w:hAnsi="仿宋" w:cs="Arial"/>
          <w:szCs w:val="32"/>
          <w:shd w:val="clear" w:color="auto" w:fill="FFFFFF"/>
        </w:rPr>
        <w:t>2012-2007</w:t>
      </w:r>
      <w:r>
        <w:rPr>
          <w:rFonts w:hint="eastAsia" w:ascii="仿宋" w:hAnsi="仿宋" w:cs="Arial"/>
          <w:szCs w:val="32"/>
          <w:shd w:val="clear" w:color="auto" w:fill="FFFFFF"/>
        </w:rPr>
        <w:t>）第5</w:t>
      </w:r>
      <w:r>
        <w:rPr>
          <w:rFonts w:ascii="仿宋" w:hAnsi="仿宋" w:cs="Arial"/>
          <w:szCs w:val="32"/>
          <w:shd w:val="clear" w:color="auto" w:fill="FFFFFF"/>
        </w:rPr>
        <w:t>.6.1</w:t>
      </w:r>
      <w:r>
        <w:rPr>
          <w:rFonts w:hint="eastAsia" w:ascii="仿宋" w:hAnsi="仿宋" w:cs="Arial"/>
          <w:szCs w:val="32"/>
          <w:shd w:val="clear" w:color="auto" w:fill="FFFFFF"/>
        </w:rPr>
        <w:t>条的规定对高压、高含硫及二氧化碳的气井设自动关井装置，对于非特殊气井未设置井口紧急截断阀。2</w:t>
      </w:r>
      <w:r>
        <w:rPr>
          <w:rFonts w:ascii="仿宋" w:hAnsi="仿宋" w:cs="Arial"/>
          <w:szCs w:val="32"/>
          <w:shd w:val="clear" w:color="auto" w:fill="FFFFFF"/>
        </w:rPr>
        <w:t>016</w:t>
      </w:r>
      <w:r>
        <w:rPr>
          <w:rFonts w:hint="eastAsia" w:ascii="仿宋" w:hAnsi="仿宋" w:cs="Arial"/>
          <w:szCs w:val="32"/>
          <w:shd w:val="clear" w:color="auto" w:fill="FFFFFF"/>
        </w:rPr>
        <w:t>年8月1日后设计、建设的采气井，应严格按照规范要求设置井口高低压紧急截断阀；2</w:t>
      </w:r>
      <w:r>
        <w:rPr>
          <w:rFonts w:ascii="仿宋" w:hAnsi="仿宋" w:cs="Arial"/>
          <w:szCs w:val="32"/>
          <w:shd w:val="clear" w:color="auto" w:fill="FFFFFF"/>
        </w:rPr>
        <w:t>016</w:t>
      </w:r>
      <w:r>
        <w:rPr>
          <w:rFonts w:hint="eastAsia" w:ascii="仿宋" w:hAnsi="仿宋" w:cs="Arial"/>
          <w:szCs w:val="32"/>
          <w:shd w:val="clear" w:color="auto" w:fill="FFFFFF"/>
        </w:rPr>
        <w:t>年8月1日前设计、建设的采气井，要按照规范要求进行整改。</w:t>
      </w:r>
    </w:p>
    <w:p>
      <w:pPr>
        <w:wordWrap w:val="0"/>
        <w:ind w:firstLine="624" w:firstLineChars="200"/>
        <w:rPr>
          <w:rFonts w:ascii="黑体" w:hAnsi="黑体" w:eastAsia="黑体" w:cs="Arial"/>
          <w:szCs w:val="32"/>
          <w:shd w:val="clear" w:color="auto" w:fill="FFFFFF"/>
        </w:rPr>
      </w:pPr>
      <w:r>
        <w:rPr>
          <w:rFonts w:hint="eastAsia" w:ascii="黑体" w:hAnsi="黑体" w:eastAsia="黑体" w:cs="Arial"/>
          <w:szCs w:val="32"/>
          <w:shd w:val="clear" w:color="auto" w:fill="FFFFFF"/>
        </w:rPr>
        <w:t>十五、危险化学品重大危险源未设置压力、液位、温度远传监控和超限位报警装置；构成一级、二级重大危险源的危险化学品罐区未实现紧急切断功能；涉及毒性气体、液化气体、剧毒液体的一级、二级重大危险源的危险化学品罐区未配备独立的安全仪表系统</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《危险化学品重大危险源监督管理暂行规定》（国家安全生产监督管理总局令第</w:t>
      </w:r>
      <w:r>
        <w:rPr>
          <w:rFonts w:ascii="仿宋" w:hAnsi="仿宋" w:cs="Arial"/>
          <w:szCs w:val="32"/>
          <w:shd w:val="clear" w:color="auto" w:fill="FFFFFF"/>
        </w:rPr>
        <w:t>40</w:t>
      </w:r>
      <w:r>
        <w:rPr>
          <w:rFonts w:hint="eastAsia" w:ascii="仿宋" w:hAnsi="仿宋" w:cs="Arial"/>
          <w:szCs w:val="32"/>
          <w:shd w:val="clear" w:color="auto" w:fill="FFFFFF"/>
        </w:rPr>
        <w:t>号）第十三条规定：“一级或者二级重大危险源，装备紧急停车系统”，“涉及毒性气体、液化气体、剧毒液体的一级或者二级重大危险源，配备独立的安全仪表系统”。构成一级、二级重大危险源的危险化学品罐区，因事故后果严重，各储罐均应设置紧急停车系统，实现紧急切断功能。对与上游生产装置直接相连的储罐，如遇可能导致生产装置超压等异常情况，可通过设置紧急切断的方式避免储罐造成超液位、超压等后果。</w:t>
      </w:r>
    </w:p>
    <w:p>
      <w:pPr>
        <w:wordWrap w:val="0"/>
        <w:ind w:firstLine="624" w:firstLineChars="200"/>
        <w:rPr>
          <w:rFonts w:ascii="黑体" w:hAnsi="黑体" w:eastAsia="黑体" w:cs="Arial"/>
          <w:szCs w:val="32"/>
          <w:shd w:val="clear" w:color="auto" w:fill="FFFFFF"/>
        </w:rPr>
      </w:pPr>
      <w:r>
        <w:rPr>
          <w:rFonts w:hint="eastAsia" w:ascii="黑体" w:hAnsi="黑体" w:eastAsia="黑体" w:cs="Arial"/>
          <w:szCs w:val="32"/>
          <w:shd w:val="clear" w:color="auto" w:fill="FFFFFF"/>
        </w:rPr>
        <w:t>十六、控制室、机柜间、值班室等人员值守的场所设在输油泵房、计量间、压缩机房等火灾危险性为甲、乙类的厂房内</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甲、乙类火灾危险性厂房发生火灾事故的风险较高，控制室、机柜间、值班室等人员值守的场所设在输油泵房、计量间、压缩机房内，事故状态下极易造成人员伤亡。《建筑设计防火规范》（GB 50016-2014）第3.6.8条规定：“有爆炸危险的甲、乙类厂房的总控制室应独立设置。”《石油天然气工程总图设计规范》（SY</w:t>
      </w:r>
      <w:r>
        <w:rPr>
          <w:rFonts w:ascii="仿宋" w:hAnsi="仿宋" w:cs="Arial"/>
          <w:szCs w:val="32"/>
          <w:shd w:val="clear" w:color="auto" w:fill="FFFFFF"/>
        </w:rPr>
        <w:t>/</w:t>
      </w:r>
      <w:r>
        <w:rPr>
          <w:rFonts w:hint="eastAsia" w:ascii="仿宋" w:hAnsi="仿宋" w:cs="Arial"/>
          <w:szCs w:val="32"/>
          <w:shd w:val="clear" w:color="auto" w:fill="FFFFFF"/>
        </w:rPr>
        <w:t>T 0048-2016）、《石油天然气工程建筑设计规范》（SY/T 0021-2016）、《油气田及管道工程仪表控制系统设计规范》（</w:t>
      </w:r>
      <w:r>
        <w:rPr>
          <w:rFonts w:ascii="仿宋" w:hAnsi="仿宋" w:cs="Arial"/>
          <w:szCs w:val="32"/>
          <w:shd w:val="clear" w:color="auto" w:fill="FFFFFF"/>
        </w:rPr>
        <w:t>GB/T</w:t>
      </w:r>
      <w:r>
        <w:rPr>
          <w:rFonts w:hint="eastAsia" w:ascii="仿宋" w:hAnsi="仿宋" w:cs="Arial"/>
          <w:szCs w:val="32"/>
          <w:shd w:val="clear" w:color="auto" w:fill="FFFFFF"/>
        </w:rPr>
        <w:t xml:space="preserve"> </w:t>
      </w:r>
      <w:r>
        <w:rPr>
          <w:rFonts w:ascii="仿宋" w:hAnsi="仿宋" w:cs="Arial"/>
          <w:szCs w:val="32"/>
          <w:shd w:val="clear" w:color="auto" w:fill="FFFFFF"/>
        </w:rPr>
        <w:t>50892-2013</w:t>
      </w:r>
      <w:r>
        <w:rPr>
          <w:rFonts w:hint="eastAsia" w:ascii="仿宋" w:hAnsi="仿宋" w:cs="Arial"/>
          <w:szCs w:val="32"/>
          <w:shd w:val="clear" w:color="auto" w:fill="FFFFFF"/>
        </w:rPr>
        <w:t>）等国家标准、行业标准也有相应规定。</w:t>
      </w:r>
    </w:p>
    <w:p>
      <w:pPr>
        <w:wordWrap w:val="0"/>
        <w:ind w:firstLine="624" w:firstLineChars="200"/>
        <w:rPr>
          <w:rFonts w:ascii="黑体" w:hAnsi="黑体" w:eastAsia="黑体" w:cs="Arial"/>
          <w:szCs w:val="32"/>
          <w:shd w:val="clear" w:color="auto" w:fill="FFFFFF"/>
        </w:rPr>
      </w:pPr>
      <w:r>
        <w:rPr>
          <w:rFonts w:hint="eastAsia" w:ascii="黑体" w:hAnsi="黑体" w:eastAsia="黑体" w:cs="Arial"/>
          <w:szCs w:val="32"/>
          <w:shd w:val="clear" w:color="auto" w:fill="FFFFFF"/>
        </w:rPr>
        <w:t>十七、站场集中（中央）控制室等面向具有火灾、爆炸危险性装置一侧设置门窗与洞口</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《气田集输设计规范》（</w:t>
      </w:r>
      <w:r>
        <w:rPr>
          <w:rFonts w:ascii="仿宋" w:hAnsi="仿宋" w:cs="Arial"/>
          <w:szCs w:val="32"/>
          <w:shd w:val="clear" w:color="auto" w:fill="FFFFFF"/>
        </w:rPr>
        <w:t>GB</w:t>
      </w:r>
      <w:r>
        <w:rPr>
          <w:rFonts w:hint="eastAsia" w:ascii="仿宋" w:hAnsi="仿宋" w:cs="Arial"/>
          <w:szCs w:val="32"/>
          <w:shd w:val="clear" w:color="auto" w:fill="FFFFFF"/>
        </w:rPr>
        <w:t xml:space="preserve"> </w:t>
      </w:r>
      <w:r>
        <w:rPr>
          <w:rFonts w:ascii="仿宋" w:hAnsi="仿宋" w:cs="Arial"/>
          <w:szCs w:val="32"/>
          <w:shd w:val="clear" w:color="auto" w:fill="FFFFFF"/>
        </w:rPr>
        <w:t>50349-2015</w:t>
      </w:r>
      <w:r>
        <w:rPr>
          <w:rFonts w:hint="eastAsia" w:ascii="仿宋" w:hAnsi="仿宋" w:cs="Arial"/>
          <w:szCs w:val="32"/>
          <w:shd w:val="clear" w:color="auto" w:fill="FFFFFF"/>
        </w:rPr>
        <w:t>）第11.7.6条规定：“中央控制室面向工艺装置区的一面不应开设外门窗”；《石油天然气工程建筑设计规范》（SY/T 0021-2016）第7.3.3条规定：“集中控制室直接朝向有火灾爆炸危险性设备侧的外墙应为无门窗、洞口，且耐火极限不低于3.0h的不燃烧材料实体墙”；《油气田及管道工程仪表控制系统设计规范》（</w:t>
      </w:r>
      <w:r>
        <w:rPr>
          <w:rFonts w:ascii="仿宋" w:hAnsi="仿宋" w:cs="Arial"/>
          <w:szCs w:val="32"/>
          <w:shd w:val="clear" w:color="auto" w:fill="FFFFFF"/>
        </w:rPr>
        <w:t>GB/T</w:t>
      </w:r>
      <w:r>
        <w:rPr>
          <w:rFonts w:hint="eastAsia" w:ascii="仿宋" w:hAnsi="仿宋" w:cs="Arial"/>
          <w:szCs w:val="32"/>
          <w:shd w:val="clear" w:color="auto" w:fill="FFFFFF"/>
        </w:rPr>
        <w:t xml:space="preserve"> </w:t>
      </w:r>
      <w:r>
        <w:rPr>
          <w:rFonts w:ascii="仿宋" w:hAnsi="仿宋" w:cs="Arial"/>
          <w:szCs w:val="32"/>
          <w:shd w:val="clear" w:color="auto" w:fill="FFFFFF"/>
        </w:rPr>
        <w:t>50892-2013</w:t>
      </w:r>
      <w:r>
        <w:rPr>
          <w:rFonts w:hint="eastAsia" w:ascii="仿宋" w:hAnsi="仿宋" w:cs="Arial"/>
          <w:szCs w:val="32"/>
          <w:shd w:val="clear" w:color="auto" w:fill="FFFFFF"/>
        </w:rPr>
        <w:t>）第8.3.3条：“控制室朝向有爆炸危险的工艺装置区侧的墙面上不应设置门窗及洞口”。石油天然气开采企业应严格落实控制室、机柜间等重要设施防火防爆的安全防护要求，在火灾、爆炸事故中，有效保护控制室内作业人员生命安全、控制室及机柜内重要自控系统、设备设施安全。</w:t>
      </w:r>
    </w:p>
    <w:p>
      <w:pPr>
        <w:wordWrap w:val="0"/>
        <w:ind w:firstLine="624" w:firstLineChars="200"/>
        <w:rPr>
          <w:rFonts w:ascii="黑体" w:hAnsi="黑体" w:eastAsia="黑体" w:cs="Arial"/>
          <w:szCs w:val="32"/>
          <w:shd w:val="clear" w:color="auto" w:fill="FFFFFF"/>
        </w:rPr>
      </w:pPr>
      <w:r>
        <w:rPr>
          <w:rFonts w:hint="eastAsia" w:ascii="黑体" w:hAnsi="黑体" w:eastAsia="黑体" w:cs="Arial"/>
          <w:szCs w:val="32"/>
          <w:shd w:val="clear" w:color="auto" w:fill="FFFFFF"/>
        </w:rPr>
        <w:t>十八、井场采取明火直接加热原油罐，或加热锅炉距离储罐防火间距不符合国家标准要求</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井场原油罐设置有敞开式人孔等设施，依据《石油设施电气设备场所ⅰ级0区、1区和2区的分类》（SY/T 6671-2017）规定，储罐外壁3米范围内为1区，该区域内油气浓度较高，并极易达到燃烧爆炸浓度，原油属于沸溢性液体，一旦受热后极易沸溢流出罐外，如采用明火加温，极易引发火灾、爆炸事故，严禁对敞开式储罐采取直接明火加温。</w:t>
      </w:r>
    </w:p>
    <w:p>
      <w:pPr>
        <w:wordWrap w:val="0"/>
        <w:ind w:firstLine="624" w:firstLineChars="200"/>
        <w:rPr>
          <w:rFonts w:ascii="宋体" w:hAnsi="宋体" w:cs="宋体"/>
          <w:kern w:val="0"/>
          <w:szCs w:val="21"/>
        </w:rPr>
      </w:pPr>
      <w:r>
        <w:rPr>
          <w:rFonts w:hint="eastAsia" w:ascii="仿宋" w:hAnsi="仿宋" w:cs="Arial"/>
          <w:szCs w:val="32"/>
          <w:shd w:val="clear" w:color="auto" w:fill="FFFFFF"/>
        </w:rPr>
        <w:t>《石油天然气工程设计防火规范》（G</w:t>
      </w:r>
      <w:r>
        <w:rPr>
          <w:rFonts w:ascii="仿宋" w:hAnsi="仿宋" w:cs="Arial"/>
          <w:szCs w:val="32"/>
          <w:shd w:val="clear" w:color="auto" w:fill="FFFFFF"/>
        </w:rPr>
        <w:t>B</w:t>
      </w:r>
      <w:r>
        <w:rPr>
          <w:rFonts w:hint="eastAsia" w:ascii="仿宋" w:hAnsi="仿宋" w:cs="Arial"/>
          <w:szCs w:val="32"/>
          <w:shd w:val="clear" w:color="auto" w:fill="FFFFFF"/>
        </w:rPr>
        <w:t xml:space="preserve"> </w:t>
      </w:r>
      <w:r>
        <w:rPr>
          <w:rFonts w:ascii="仿宋" w:hAnsi="仿宋" w:cs="Arial"/>
          <w:szCs w:val="32"/>
          <w:shd w:val="clear" w:color="auto" w:fill="FFFFFF"/>
        </w:rPr>
        <w:t>50183-20</w:t>
      </w:r>
      <w:r>
        <w:rPr>
          <w:rFonts w:hint="eastAsia" w:ascii="仿宋" w:hAnsi="仿宋" w:cs="Arial"/>
          <w:szCs w:val="32"/>
          <w:shd w:val="clear" w:color="auto" w:fill="FFFFFF"/>
        </w:rPr>
        <w:t>04）规定，</w:t>
      </w:r>
      <w:r>
        <w:rPr>
          <w:rFonts w:ascii="宋体" w:hAnsi="宋体" w:cs="宋体"/>
          <w:kern w:val="0"/>
          <w:szCs w:val="21"/>
        </w:rPr>
        <w:t>石油天然气站场内的锅炉房、加热炉、水套炉等有明火或散发火花的地点，宜布置在站场或油气生产区边缘。</w:t>
      </w:r>
      <w:r>
        <w:rPr>
          <w:rFonts w:hint="eastAsia" w:ascii="宋体" w:hAnsi="宋体" w:cs="宋体"/>
          <w:kern w:val="0"/>
          <w:szCs w:val="21"/>
        </w:rPr>
        <w:t>五级油气站场≤500m</w:t>
      </w:r>
      <w:r>
        <w:rPr>
          <w:rFonts w:hint="eastAsia" w:ascii="宋体" w:hAnsi="宋体" w:cs="宋体"/>
          <w:kern w:val="0"/>
          <w:szCs w:val="21"/>
          <w:vertAlign w:val="superscript"/>
        </w:rPr>
        <w:t>3</w:t>
      </w:r>
      <w:r>
        <w:rPr>
          <w:rFonts w:hint="eastAsia" w:ascii="宋体" w:hAnsi="宋体" w:cs="宋体"/>
          <w:kern w:val="0"/>
          <w:szCs w:val="21"/>
        </w:rPr>
        <w:t>油罐（除甲A类外）与水套炉的防火间距不应小于15m，与加热炉、锅炉房的防火间距不应小于20m。</w:t>
      </w:r>
    </w:p>
    <w:p>
      <w:pPr>
        <w:wordWrap w:val="0"/>
        <w:ind w:firstLine="624" w:firstLineChars="200"/>
        <w:rPr>
          <w:rFonts w:ascii="黑体" w:hAnsi="黑体" w:eastAsia="黑体" w:cs="Arial"/>
          <w:szCs w:val="32"/>
          <w:shd w:val="clear" w:color="auto" w:fill="FFFFFF"/>
        </w:rPr>
      </w:pPr>
      <w:r>
        <w:rPr>
          <w:rFonts w:hint="eastAsia" w:ascii="黑体" w:hAnsi="黑体" w:eastAsia="黑体" w:cs="Arial"/>
          <w:szCs w:val="32"/>
          <w:shd w:val="clear" w:color="auto" w:fill="FFFFFF"/>
        </w:rPr>
        <w:t>十九、油气集输管道被占压或距离敏感目标安全距离不符合标准要求</w:t>
      </w:r>
    </w:p>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《中华人民共和国石油天然气管道保护法》、《输油管道工程设计规范》（G</w:t>
      </w:r>
      <w:r>
        <w:rPr>
          <w:rFonts w:ascii="仿宋" w:hAnsi="仿宋" w:cs="Arial"/>
          <w:szCs w:val="32"/>
          <w:shd w:val="clear" w:color="auto" w:fill="FFFFFF"/>
        </w:rPr>
        <w:t>B 50253-2014</w:t>
      </w:r>
      <w:r>
        <w:rPr>
          <w:rFonts w:hint="eastAsia" w:ascii="仿宋" w:hAnsi="仿宋" w:cs="Arial"/>
          <w:szCs w:val="32"/>
          <w:shd w:val="clear" w:color="auto" w:fill="FFFFFF"/>
        </w:rPr>
        <w:t>）、《输气管道工程设计规范》（G</w:t>
      </w:r>
      <w:r>
        <w:rPr>
          <w:rFonts w:ascii="仿宋" w:hAnsi="仿宋" w:cs="Arial"/>
          <w:szCs w:val="32"/>
          <w:shd w:val="clear" w:color="auto" w:fill="FFFFFF"/>
        </w:rPr>
        <w:t>B 50251-2015</w:t>
      </w:r>
      <w:r>
        <w:rPr>
          <w:rFonts w:hint="eastAsia" w:ascii="仿宋" w:hAnsi="仿宋" w:cs="Arial"/>
          <w:szCs w:val="32"/>
          <w:shd w:val="clear" w:color="auto" w:fill="FFFFFF"/>
        </w:rPr>
        <w:t>）均规定油气管道与建（构）筑物的最小间距为5米。若油气集输管道被占压或距离民宅、学校、医院、油库、人口密集及高危场所等敏感目标之间间距不足5米，一旦管道泄漏引发火灾、爆炸、中毒窒息事故极易造成人员伤亡。</w:t>
      </w:r>
    </w:p>
    <w:p>
      <w:pPr>
        <w:wordWrap w:val="0"/>
        <w:ind w:firstLine="624" w:firstLineChars="200"/>
        <w:rPr>
          <w:rFonts w:ascii="黑体" w:hAnsi="黑体" w:eastAsia="黑体" w:cs="Arial"/>
          <w:szCs w:val="32"/>
          <w:shd w:val="clear" w:color="auto" w:fill="FFFFFF"/>
        </w:rPr>
      </w:pPr>
      <w:bookmarkStart w:id="0" w:name="_Hlk12346734"/>
      <w:r>
        <w:rPr>
          <w:rFonts w:hint="eastAsia" w:ascii="黑体" w:hAnsi="黑体" w:eastAsia="黑体" w:cs="Arial"/>
          <w:szCs w:val="32"/>
          <w:shd w:val="clear" w:color="auto" w:fill="FFFFFF"/>
        </w:rPr>
        <w:t>二十、石油天然气开采企业之间、石油天然气开采企业与煤矿等地下矿山企业之间，作业区域交叉、重叠时，未签订安全生产管理协议，或未采取相应安全技术措施</w:t>
      </w:r>
    </w:p>
    <w:bookmarkEnd w:id="0"/>
    <w:p>
      <w:pPr>
        <w:wordWrap w:val="0"/>
        <w:ind w:firstLine="624" w:firstLineChars="200"/>
        <w:rPr>
          <w:rFonts w:ascii="仿宋" w:hAnsi="仿宋" w:cs="Arial"/>
          <w:szCs w:val="32"/>
          <w:shd w:val="clear" w:color="auto" w:fill="FFFFFF"/>
        </w:rPr>
      </w:pPr>
      <w:r>
        <w:rPr>
          <w:rFonts w:hint="eastAsia" w:ascii="仿宋" w:hAnsi="仿宋" w:cs="Arial"/>
          <w:szCs w:val="32"/>
          <w:shd w:val="clear" w:color="auto" w:fill="FFFFFF"/>
        </w:rPr>
        <w:t>《安全生产法》第四十五条规定：“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陕北地区鄂尔多斯盆地矿产资源共生伴生，矿业权重叠突出，石油天然气、煤炭、煤层气、盐矿等矿产资源开采作业过程中频繁发生作业活动区域交叉、重叠的情况，为保证开采作业过程的安全，企业之间应依法进行相互安全告知，签订安全管理协议，并采取相应安全技术措施确保作业过程安全。《石油天然气钻井井控技术规范》（G</w:t>
      </w:r>
      <w:r>
        <w:rPr>
          <w:rFonts w:ascii="仿宋" w:hAnsi="仿宋" w:cs="Arial"/>
          <w:szCs w:val="32"/>
          <w:shd w:val="clear" w:color="auto" w:fill="FFFFFF"/>
        </w:rPr>
        <w:t>B/T 31033-2014</w:t>
      </w:r>
      <w:r>
        <w:rPr>
          <w:rFonts w:hint="eastAsia" w:ascii="仿宋" w:hAnsi="仿宋" w:cs="Arial"/>
          <w:szCs w:val="32"/>
          <w:shd w:val="clear" w:color="auto" w:fill="FFFFFF"/>
        </w:rPr>
        <w:t>）第4</w:t>
      </w:r>
      <w:r>
        <w:rPr>
          <w:rFonts w:ascii="仿宋" w:hAnsi="仿宋" w:cs="Arial"/>
          <w:szCs w:val="32"/>
          <w:shd w:val="clear" w:color="auto" w:fill="FFFFFF"/>
        </w:rPr>
        <w:t>.5</w:t>
      </w:r>
      <w:r>
        <w:rPr>
          <w:rFonts w:hint="eastAsia" w:ascii="仿宋" w:hAnsi="仿宋" w:cs="Arial"/>
          <w:szCs w:val="32"/>
          <w:shd w:val="clear" w:color="auto" w:fill="FFFFFF"/>
        </w:rPr>
        <w:t>条规定：“在开发调整区钻井，地质设计中应明确邻近注水、注气（汽）井分布及注水、注气（汽）情况，提供分层动态压力数据。工程设计中明确钻开油气层之前应采取的相应停注、泄压和停抽等措施”。《石油天然气钻井井控技术规范》（GB/T 31033-2014）第4.1条、《钻前工程及井场布置技术要求》（</w:t>
      </w:r>
      <w:r>
        <w:rPr>
          <w:rFonts w:ascii="仿宋" w:hAnsi="仿宋" w:cs="Arial"/>
          <w:szCs w:val="32"/>
          <w:shd w:val="clear" w:color="auto" w:fill="FFFFFF"/>
        </w:rPr>
        <w:t>SY/T 5466-2013</w:t>
      </w:r>
      <w:r>
        <w:rPr>
          <w:rFonts w:hint="eastAsia" w:ascii="仿宋" w:hAnsi="仿宋" w:cs="Arial"/>
          <w:szCs w:val="32"/>
          <w:shd w:val="clear" w:color="auto" w:fill="FFFFFF"/>
        </w:rPr>
        <w:t>）第3.2.2条均规定：“井筒与采掘坑道、矿井坑道之间的距离不小于100m”。《建筑物、水体、铁路及主要井巷煤柱留设与压煤开采规范》（安监总煤装〔2017〕66号）第六条规定：根据《煤炭法》、《矿产资源法》的规定，在煤矿矿区范围内需要建设公用工程或者其他工程的，有关单位或个人应当事先与煤矿企业协商，选择适宜位置，并按本规范要求，采取相应技术措施，达成协议后方可实施。</w:t>
      </w:r>
    </w:p>
    <w:p>
      <w:pPr>
        <w:wordWrap w:val="0"/>
        <w:rPr>
          <w:rFonts w:ascii="仿宋" w:hAnsi="仿宋" w:cs="Arial"/>
          <w:szCs w:val="32"/>
          <w:shd w:val="clear" w:color="auto" w:fill="FFFFFF"/>
        </w:rPr>
      </w:pPr>
    </w:p>
    <w:p>
      <w:pPr>
        <w:wordWrap w:val="0"/>
        <w:rPr>
          <w:rFonts w:ascii="仿宋" w:hAnsi="仿宋" w:cs="Arial"/>
          <w:szCs w:val="32"/>
          <w:shd w:val="clear" w:color="auto" w:fill="FFFFFF"/>
        </w:rPr>
      </w:pPr>
    </w:p>
    <w:p>
      <w:pPr>
        <w:wordWrap w:val="0"/>
        <w:rPr>
          <w:rFonts w:ascii="仿宋" w:hAnsi="仿宋" w:cs="Arial"/>
          <w:szCs w:val="32"/>
          <w:shd w:val="clear" w:color="auto" w:fill="FFFFFF"/>
        </w:rPr>
      </w:pPr>
    </w:p>
    <w:p>
      <w:pPr>
        <w:wordWrap w:val="0"/>
        <w:rPr>
          <w:rFonts w:ascii="仿宋" w:hAnsi="仿宋" w:cs="Arial"/>
          <w:szCs w:val="32"/>
          <w:shd w:val="clear" w:color="auto" w:fill="FFFFFF"/>
        </w:rPr>
      </w:pPr>
    </w:p>
    <w:p>
      <w:pPr>
        <w:ind w:firstLine="125" w:firstLineChars="54"/>
        <w:jc w:val="right"/>
        <w:rPr>
          <w:rFonts w:eastAsia="宋体"/>
          <w:color w:val="000000"/>
          <w:kern w:val="0"/>
          <w:sz w:val="24"/>
          <w:szCs w:val="24"/>
        </w:rPr>
      </w:pPr>
      <w:bookmarkStart w:id="1" w:name="_GoBack"/>
      <w:bookmarkEnd w:id="1"/>
    </w:p>
    <w:sectPr>
      <w:headerReference r:id="rId3" w:type="default"/>
      <w:footerReference r:id="rId5" w:type="default"/>
      <w:headerReference r:id="rId4" w:type="even"/>
      <w:footerReference r:id="rId6" w:type="even"/>
      <w:pgSz w:w="11906" w:h="16838"/>
      <w:pgMar w:top="1701" w:right="1588" w:bottom="1588" w:left="1588" w:header="851" w:footer="964" w:gutter="0"/>
      <w:pgNumType w:fmt="numberInDash" w:start="1"/>
      <w:cols w:space="425" w:num="1"/>
      <w:docGrid w:type="linesAndChars" w:linePitch="615"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5136238"/>
      <w:docPartObj>
        <w:docPartGallery w:val="AutoText"/>
      </w:docPartObj>
    </w:sdtPr>
    <w:sdtEndPr>
      <w:rPr>
        <w:rFonts w:asciiTheme="minorEastAsia" w:hAnsiTheme="minorEastAsia" w:eastAsiaTheme="minorEastAsia"/>
        <w:sz w:val="28"/>
        <w:szCs w:val="28"/>
      </w:rPr>
    </w:sdtEndPr>
    <w:sdtContent>
      <w:p>
        <w:pPr>
          <w:pStyle w:val="7"/>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15 -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0364139"/>
      <w:docPartObj>
        <w:docPartGallery w:val="AutoText"/>
      </w:docPartObj>
    </w:sdtPr>
    <w:sdtEndPr>
      <w:rPr>
        <w:rFonts w:asciiTheme="minorEastAsia" w:hAnsiTheme="minorEastAsia" w:eastAsiaTheme="minorEastAsia"/>
        <w:sz w:val="28"/>
        <w:szCs w:val="28"/>
      </w:rPr>
    </w:sdtEndPr>
    <w:sdtContent>
      <w:p>
        <w:pPr>
          <w:pStyle w:val="7"/>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16 -</w:t>
        </w:r>
        <w:r>
          <w:rPr>
            <w:rFonts w:asciiTheme="minorEastAsia" w:hAnsiTheme="minorEastAsia" w:eastAsiaTheme="minorEastAsia"/>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56"/>
  <w:drawingGridVerticalSpacing w:val="6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2939"/>
    <w:rsid w:val="00000E1A"/>
    <w:rsid w:val="00001414"/>
    <w:rsid w:val="00004D16"/>
    <w:rsid w:val="00005AF4"/>
    <w:rsid w:val="00012E48"/>
    <w:rsid w:val="000146CF"/>
    <w:rsid w:val="00017FD7"/>
    <w:rsid w:val="00020D30"/>
    <w:rsid w:val="0002453D"/>
    <w:rsid w:val="00024542"/>
    <w:rsid w:val="000253D2"/>
    <w:rsid w:val="00032733"/>
    <w:rsid w:val="00032B8C"/>
    <w:rsid w:val="00033FE2"/>
    <w:rsid w:val="0003453F"/>
    <w:rsid w:val="00037807"/>
    <w:rsid w:val="00037AAF"/>
    <w:rsid w:val="00044BB6"/>
    <w:rsid w:val="000472F0"/>
    <w:rsid w:val="0004744E"/>
    <w:rsid w:val="00052081"/>
    <w:rsid w:val="00054958"/>
    <w:rsid w:val="00057FE5"/>
    <w:rsid w:val="0006034D"/>
    <w:rsid w:val="00064D42"/>
    <w:rsid w:val="00077723"/>
    <w:rsid w:val="00081217"/>
    <w:rsid w:val="000863E1"/>
    <w:rsid w:val="0009213F"/>
    <w:rsid w:val="00093876"/>
    <w:rsid w:val="000971F5"/>
    <w:rsid w:val="00097D5C"/>
    <w:rsid w:val="000A358E"/>
    <w:rsid w:val="000A7AC0"/>
    <w:rsid w:val="000B02B8"/>
    <w:rsid w:val="000B06F4"/>
    <w:rsid w:val="000B163C"/>
    <w:rsid w:val="000C1213"/>
    <w:rsid w:val="000C2FEC"/>
    <w:rsid w:val="000D1E45"/>
    <w:rsid w:val="000D32E6"/>
    <w:rsid w:val="000D48F4"/>
    <w:rsid w:val="000E6321"/>
    <w:rsid w:val="000F0924"/>
    <w:rsid w:val="000F1F15"/>
    <w:rsid w:val="000F7FBE"/>
    <w:rsid w:val="00100D13"/>
    <w:rsid w:val="00102CCB"/>
    <w:rsid w:val="001032E0"/>
    <w:rsid w:val="00105B5E"/>
    <w:rsid w:val="001147AE"/>
    <w:rsid w:val="0011535F"/>
    <w:rsid w:val="00117DD9"/>
    <w:rsid w:val="00120C4D"/>
    <w:rsid w:val="0012575D"/>
    <w:rsid w:val="00135D2A"/>
    <w:rsid w:val="001365F3"/>
    <w:rsid w:val="0014025A"/>
    <w:rsid w:val="00140C86"/>
    <w:rsid w:val="0014493D"/>
    <w:rsid w:val="00145024"/>
    <w:rsid w:val="00147A3C"/>
    <w:rsid w:val="00153A08"/>
    <w:rsid w:val="00155EB1"/>
    <w:rsid w:val="00157948"/>
    <w:rsid w:val="00157DEC"/>
    <w:rsid w:val="001613EE"/>
    <w:rsid w:val="001642DD"/>
    <w:rsid w:val="001650A2"/>
    <w:rsid w:val="00173221"/>
    <w:rsid w:val="00177046"/>
    <w:rsid w:val="0018077E"/>
    <w:rsid w:val="001876D5"/>
    <w:rsid w:val="001A14FF"/>
    <w:rsid w:val="001A1E1A"/>
    <w:rsid w:val="001A1FA7"/>
    <w:rsid w:val="001A2245"/>
    <w:rsid w:val="001A4E40"/>
    <w:rsid w:val="001A54C9"/>
    <w:rsid w:val="001B2DB4"/>
    <w:rsid w:val="001B3CC5"/>
    <w:rsid w:val="001B44D1"/>
    <w:rsid w:val="001C1838"/>
    <w:rsid w:val="001C1EB7"/>
    <w:rsid w:val="001C7CE8"/>
    <w:rsid w:val="001D0BEF"/>
    <w:rsid w:val="001D429A"/>
    <w:rsid w:val="001D4759"/>
    <w:rsid w:val="001E051C"/>
    <w:rsid w:val="001E29D2"/>
    <w:rsid w:val="001E351A"/>
    <w:rsid w:val="001E3F10"/>
    <w:rsid w:val="001F2C10"/>
    <w:rsid w:val="001F424F"/>
    <w:rsid w:val="001F6856"/>
    <w:rsid w:val="002008C9"/>
    <w:rsid w:val="00205BE5"/>
    <w:rsid w:val="00220316"/>
    <w:rsid w:val="002218BA"/>
    <w:rsid w:val="00223E01"/>
    <w:rsid w:val="002250B9"/>
    <w:rsid w:val="002271E5"/>
    <w:rsid w:val="00230BFD"/>
    <w:rsid w:val="00235932"/>
    <w:rsid w:val="00236769"/>
    <w:rsid w:val="00246A8F"/>
    <w:rsid w:val="00250246"/>
    <w:rsid w:val="00262B73"/>
    <w:rsid w:val="00267D74"/>
    <w:rsid w:val="00273C06"/>
    <w:rsid w:val="00275EB7"/>
    <w:rsid w:val="00276D48"/>
    <w:rsid w:val="00281351"/>
    <w:rsid w:val="00284082"/>
    <w:rsid w:val="00286432"/>
    <w:rsid w:val="00286658"/>
    <w:rsid w:val="00286861"/>
    <w:rsid w:val="00296430"/>
    <w:rsid w:val="0029709D"/>
    <w:rsid w:val="002A0792"/>
    <w:rsid w:val="002A4972"/>
    <w:rsid w:val="002A6958"/>
    <w:rsid w:val="002B2B6B"/>
    <w:rsid w:val="002B2DCA"/>
    <w:rsid w:val="002B2EA6"/>
    <w:rsid w:val="002B3928"/>
    <w:rsid w:val="002B39C5"/>
    <w:rsid w:val="002B6C87"/>
    <w:rsid w:val="002B7613"/>
    <w:rsid w:val="002C174C"/>
    <w:rsid w:val="002C197B"/>
    <w:rsid w:val="002D085A"/>
    <w:rsid w:val="002D4755"/>
    <w:rsid w:val="002D6D08"/>
    <w:rsid w:val="002E1CE3"/>
    <w:rsid w:val="002E3051"/>
    <w:rsid w:val="002E6209"/>
    <w:rsid w:val="002E7CD7"/>
    <w:rsid w:val="00300226"/>
    <w:rsid w:val="00300C7A"/>
    <w:rsid w:val="00314E7B"/>
    <w:rsid w:val="0031520D"/>
    <w:rsid w:val="0032428F"/>
    <w:rsid w:val="00325663"/>
    <w:rsid w:val="003264CC"/>
    <w:rsid w:val="00333B9B"/>
    <w:rsid w:val="00335AF4"/>
    <w:rsid w:val="0033626F"/>
    <w:rsid w:val="003365E7"/>
    <w:rsid w:val="003438CC"/>
    <w:rsid w:val="00346D80"/>
    <w:rsid w:val="00347294"/>
    <w:rsid w:val="00351211"/>
    <w:rsid w:val="003515B2"/>
    <w:rsid w:val="003521AF"/>
    <w:rsid w:val="003549FA"/>
    <w:rsid w:val="00362127"/>
    <w:rsid w:val="0036351D"/>
    <w:rsid w:val="003760E6"/>
    <w:rsid w:val="00382587"/>
    <w:rsid w:val="00382746"/>
    <w:rsid w:val="00386154"/>
    <w:rsid w:val="00387067"/>
    <w:rsid w:val="0038759C"/>
    <w:rsid w:val="003878D6"/>
    <w:rsid w:val="0039099A"/>
    <w:rsid w:val="00392D60"/>
    <w:rsid w:val="00392FE1"/>
    <w:rsid w:val="00394A41"/>
    <w:rsid w:val="0039636E"/>
    <w:rsid w:val="00397857"/>
    <w:rsid w:val="003A49E0"/>
    <w:rsid w:val="003A5961"/>
    <w:rsid w:val="003A75A5"/>
    <w:rsid w:val="003B32BF"/>
    <w:rsid w:val="003B6D35"/>
    <w:rsid w:val="003C69BE"/>
    <w:rsid w:val="003C7409"/>
    <w:rsid w:val="003C7746"/>
    <w:rsid w:val="003D0CCB"/>
    <w:rsid w:val="003D2BEE"/>
    <w:rsid w:val="003E0828"/>
    <w:rsid w:val="003E0FF5"/>
    <w:rsid w:val="003E1FAF"/>
    <w:rsid w:val="003E602B"/>
    <w:rsid w:val="003E6635"/>
    <w:rsid w:val="003E703F"/>
    <w:rsid w:val="003F018B"/>
    <w:rsid w:val="004027CF"/>
    <w:rsid w:val="00404A87"/>
    <w:rsid w:val="00416539"/>
    <w:rsid w:val="0042041E"/>
    <w:rsid w:val="00420B12"/>
    <w:rsid w:val="0042175B"/>
    <w:rsid w:val="004243EA"/>
    <w:rsid w:val="0042607D"/>
    <w:rsid w:val="0042624D"/>
    <w:rsid w:val="00427FD0"/>
    <w:rsid w:val="0043042C"/>
    <w:rsid w:val="00430DB0"/>
    <w:rsid w:val="00432650"/>
    <w:rsid w:val="00433247"/>
    <w:rsid w:val="00435194"/>
    <w:rsid w:val="004477E4"/>
    <w:rsid w:val="00453801"/>
    <w:rsid w:val="004702D1"/>
    <w:rsid w:val="00480859"/>
    <w:rsid w:val="00481C2D"/>
    <w:rsid w:val="00490E4E"/>
    <w:rsid w:val="00493277"/>
    <w:rsid w:val="00493A1D"/>
    <w:rsid w:val="00493FEC"/>
    <w:rsid w:val="004A1648"/>
    <w:rsid w:val="004A5917"/>
    <w:rsid w:val="004B5E50"/>
    <w:rsid w:val="004C09A1"/>
    <w:rsid w:val="004C4014"/>
    <w:rsid w:val="004C7EC2"/>
    <w:rsid w:val="004D719C"/>
    <w:rsid w:val="004E4C03"/>
    <w:rsid w:val="004E6A20"/>
    <w:rsid w:val="004F17A3"/>
    <w:rsid w:val="004F4D2D"/>
    <w:rsid w:val="00510B96"/>
    <w:rsid w:val="00511F96"/>
    <w:rsid w:val="00513EFA"/>
    <w:rsid w:val="0052407A"/>
    <w:rsid w:val="005263F3"/>
    <w:rsid w:val="00527D69"/>
    <w:rsid w:val="00536C31"/>
    <w:rsid w:val="00536E71"/>
    <w:rsid w:val="00540E60"/>
    <w:rsid w:val="005431F4"/>
    <w:rsid w:val="005434F2"/>
    <w:rsid w:val="005452A8"/>
    <w:rsid w:val="005453F2"/>
    <w:rsid w:val="005467CD"/>
    <w:rsid w:val="00547E25"/>
    <w:rsid w:val="00555D2D"/>
    <w:rsid w:val="0055630A"/>
    <w:rsid w:val="00556492"/>
    <w:rsid w:val="00560444"/>
    <w:rsid w:val="005607DA"/>
    <w:rsid w:val="005609C5"/>
    <w:rsid w:val="005649E8"/>
    <w:rsid w:val="00566691"/>
    <w:rsid w:val="00566D4D"/>
    <w:rsid w:val="005728F8"/>
    <w:rsid w:val="00576F22"/>
    <w:rsid w:val="00577B19"/>
    <w:rsid w:val="0058239D"/>
    <w:rsid w:val="00583410"/>
    <w:rsid w:val="00585B02"/>
    <w:rsid w:val="00586F54"/>
    <w:rsid w:val="00591827"/>
    <w:rsid w:val="005A47E8"/>
    <w:rsid w:val="005B05F4"/>
    <w:rsid w:val="005B1EE4"/>
    <w:rsid w:val="005B472B"/>
    <w:rsid w:val="005B4B27"/>
    <w:rsid w:val="005B7D16"/>
    <w:rsid w:val="005C1D0D"/>
    <w:rsid w:val="005C2919"/>
    <w:rsid w:val="005C2BC8"/>
    <w:rsid w:val="005D4311"/>
    <w:rsid w:val="005E249C"/>
    <w:rsid w:val="005E29F7"/>
    <w:rsid w:val="005F36B3"/>
    <w:rsid w:val="005F73A2"/>
    <w:rsid w:val="0060730A"/>
    <w:rsid w:val="00617B06"/>
    <w:rsid w:val="00620F85"/>
    <w:rsid w:val="00624721"/>
    <w:rsid w:val="006262F2"/>
    <w:rsid w:val="00630C38"/>
    <w:rsid w:val="00631E9A"/>
    <w:rsid w:val="006326D2"/>
    <w:rsid w:val="006345E3"/>
    <w:rsid w:val="006358A5"/>
    <w:rsid w:val="006370F6"/>
    <w:rsid w:val="00637FB5"/>
    <w:rsid w:val="00640D15"/>
    <w:rsid w:val="006419A1"/>
    <w:rsid w:val="0064246A"/>
    <w:rsid w:val="00642A93"/>
    <w:rsid w:val="00642C5A"/>
    <w:rsid w:val="00647873"/>
    <w:rsid w:val="006641E9"/>
    <w:rsid w:val="00664EA1"/>
    <w:rsid w:val="006663A2"/>
    <w:rsid w:val="0067072A"/>
    <w:rsid w:val="0067354C"/>
    <w:rsid w:val="00677B32"/>
    <w:rsid w:val="00681B2F"/>
    <w:rsid w:val="0068211C"/>
    <w:rsid w:val="006830C5"/>
    <w:rsid w:val="00697937"/>
    <w:rsid w:val="006A412E"/>
    <w:rsid w:val="006A7369"/>
    <w:rsid w:val="006B09B8"/>
    <w:rsid w:val="006B0C1C"/>
    <w:rsid w:val="006B2BD6"/>
    <w:rsid w:val="006B59E3"/>
    <w:rsid w:val="006B7797"/>
    <w:rsid w:val="006C3FE6"/>
    <w:rsid w:val="006D388D"/>
    <w:rsid w:val="006D3984"/>
    <w:rsid w:val="006D41C7"/>
    <w:rsid w:val="006D5668"/>
    <w:rsid w:val="006E0430"/>
    <w:rsid w:val="006E34FA"/>
    <w:rsid w:val="006E5840"/>
    <w:rsid w:val="006F1B31"/>
    <w:rsid w:val="006F5F86"/>
    <w:rsid w:val="006F5FB5"/>
    <w:rsid w:val="006F645A"/>
    <w:rsid w:val="00702C8A"/>
    <w:rsid w:val="00711EAA"/>
    <w:rsid w:val="00713DFB"/>
    <w:rsid w:val="00721093"/>
    <w:rsid w:val="00722D24"/>
    <w:rsid w:val="0073040E"/>
    <w:rsid w:val="00735F78"/>
    <w:rsid w:val="00740735"/>
    <w:rsid w:val="00751E81"/>
    <w:rsid w:val="0075270D"/>
    <w:rsid w:val="00752A0A"/>
    <w:rsid w:val="00753359"/>
    <w:rsid w:val="00756607"/>
    <w:rsid w:val="007568C8"/>
    <w:rsid w:val="00762E7E"/>
    <w:rsid w:val="007633FB"/>
    <w:rsid w:val="0076405F"/>
    <w:rsid w:val="007644E5"/>
    <w:rsid w:val="00776D34"/>
    <w:rsid w:val="007841C5"/>
    <w:rsid w:val="007859CA"/>
    <w:rsid w:val="00786D20"/>
    <w:rsid w:val="00787771"/>
    <w:rsid w:val="00794D6B"/>
    <w:rsid w:val="0079581C"/>
    <w:rsid w:val="00797069"/>
    <w:rsid w:val="007A193B"/>
    <w:rsid w:val="007A27E1"/>
    <w:rsid w:val="007A31D6"/>
    <w:rsid w:val="007A628C"/>
    <w:rsid w:val="007A67BF"/>
    <w:rsid w:val="007B246A"/>
    <w:rsid w:val="007B304F"/>
    <w:rsid w:val="007B4907"/>
    <w:rsid w:val="007B6508"/>
    <w:rsid w:val="007B6515"/>
    <w:rsid w:val="007C14EC"/>
    <w:rsid w:val="007C16E3"/>
    <w:rsid w:val="007C265E"/>
    <w:rsid w:val="007C5E6F"/>
    <w:rsid w:val="007C60D6"/>
    <w:rsid w:val="007D124F"/>
    <w:rsid w:val="007D146C"/>
    <w:rsid w:val="007D1C54"/>
    <w:rsid w:val="007D25B7"/>
    <w:rsid w:val="007D3651"/>
    <w:rsid w:val="007D4A2E"/>
    <w:rsid w:val="007E4A88"/>
    <w:rsid w:val="007E6E52"/>
    <w:rsid w:val="007F0380"/>
    <w:rsid w:val="007F5EA7"/>
    <w:rsid w:val="007F6796"/>
    <w:rsid w:val="008032CC"/>
    <w:rsid w:val="00803D86"/>
    <w:rsid w:val="00807CD5"/>
    <w:rsid w:val="0081518F"/>
    <w:rsid w:val="0081609D"/>
    <w:rsid w:val="0082175C"/>
    <w:rsid w:val="0082249E"/>
    <w:rsid w:val="008243E9"/>
    <w:rsid w:val="00830162"/>
    <w:rsid w:val="0083060A"/>
    <w:rsid w:val="0083119C"/>
    <w:rsid w:val="00842F23"/>
    <w:rsid w:val="00843F32"/>
    <w:rsid w:val="00845793"/>
    <w:rsid w:val="00855FFA"/>
    <w:rsid w:val="00866D77"/>
    <w:rsid w:val="00870C17"/>
    <w:rsid w:val="008741F9"/>
    <w:rsid w:val="0087596B"/>
    <w:rsid w:val="00882C33"/>
    <w:rsid w:val="008911D0"/>
    <w:rsid w:val="008916E5"/>
    <w:rsid w:val="00893013"/>
    <w:rsid w:val="00895522"/>
    <w:rsid w:val="008A7384"/>
    <w:rsid w:val="008B43C0"/>
    <w:rsid w:val="008B5237"/>
    <w:rsid w:val="008B6A7D"/>
    <w:rsid w:val="008B7445"/>
    <w:rsid w:val="008C0452"/>
    <w:rsid w:val="008C2547"/>
    <w:rsid w:val="008C2E77"/>
    <w:rsid w:val="008C7F29"/>
    <w:rsid w:val="008D42E9"/>
    <w:rsid w:val="008D63E4"/>
    <w:rsid w:val="008D6866"/>
    <w:rsid w:val="008D78F1"/>
    <w:rsid w:val="008E2769"/>
    <w:rsid w:val="008E3EDA"/>
    <w:rsid w:val="008E7304"/>
    <w:rsid w:val="008E75DA"/>
    <w:rsid w:val="008F2A48"/>
    <w:rsid w:val="008F3430"/>
    <w:rsid w:val="00900493"/>
    <w:rsid w:val="00902443"/>
    <w:rsid w:val="009037C8"/>
    <w:rsid w:val="00912B0A"/>
    <w:rsid w:val="0091342A"/>
    <w:rsid w:val="009202C2"/>
    <w:rsid w:val="00920B99"/>
    <w:rsid w:val="009267D1"/>
    <w:rsid w:val="00933BF7"/>
    <w:rsid w:val="00937822"/>
    <w:rsid w:val="0094201C"/>
    <w:rsid w:val="0094438F"/>
    <w:rsid w:val="00945941"/>
    <w:rsid w:val="009558C6"/>
    <w:rsid w:val="009567F3"/>
    <w:rsid w:val="00967FE6"/>
    <w:rsid w:val="009700FF"/>
    <w:rsid w:val="00970D5A"/>
    <w:rsid w:val="00973E4A"/>
    <w:rsid w:val="00977E85"/>
    <w:rsid w:val="0098432C"/>
    <w:rsid w:val="00985FEE"/>
    <w:rsid w:val="00994635"/>
    <w:rsid w:val="00994D21"/>
    <w:rsid w:val="009A1288"/>
    <w:rsid w:val="009A7F6D"/>
    <w:rsid w:val="009B3506"/>
    <w:rsid w:val="009B4523"/>
    <w:rsid w:val="009B7256"/>
    <w:rsid w:val="009C1A6B"/>
    <w:rsid w:val="009C2534"/>
    <w:rsid w:val="009C3E56"/>
    <w:rsid w:val="009D03A3"/>
    <w:rsid w:val="009D1924"/>
    <w:rsid w:val="009D472D"/>
    <w:rsid w:val="009D7EF4"/>
    <w:rsid w:val="009E2BEE"/>
    <w:rsid w:val="009E359E"/>
    <w:rsid w:val="009E688D"/>
    <w:rsid w:val="009F18B8"/>
    <w:rsid w:val="009F7945"/>
    <w:rsid w:val="00A046C6"/>
    <w:rsid w:val="00A048EC"/>
    <w:rsid w:val="00A11254"/>
    <w:rsid w:val="00A13830"/>
    <w:rsid w:val="00A173F1"/>
    <w:rsid w:val="00A17BE5"/>
    <w:rsid w:val="00A2184C"/>
    <w:rsid w:val="00A263CB"/>
    <w:rsid w:val="00A27880"/>
    <w:rsid w:val="00A323A1"/>
    <w:rsid w:val="00A37071"/>
    <w:rsid w:val="00A40877"/>
    <w:rsid w:val="00A41719"/>
    <w:rsid w:val="00A50849"/>
    <w:rsid w:val="00A50901"/>
    <w:rsid w:val="00A609DD"/>
    <w:rsid w:val="00A6537B"/>
    <w:rsid w:val="00A65B31"/>
    <w:rsid w:val="00A73376"/>
    <w:rsid w:val="00A77919"/>
    <w:rsid w:val="00A83BEB"/>
    <w:rsid w:val="00A855E0"/>
    <w:rsid w:val="00A91F10"/>
    <w:rsid w:val="00A963CA"/>
    <w:rsid w:val="00A970E4"/>
    <w:rsid w:val="00AA0BBD"/>
    <w:rsid w:val="00AA1069"/>
    <w:rsid w:val="00AA55DC"/>
    <w:rsid w:val="00AB3032"/>
    <w:rsid w:val="00AB605A"/>
    <w:rsid w:val="00AB68F5"/>
    <w:rsid w:val="00AB7F9C"/>
    <w:rsid w:val="00AC5799"/>
    <w:rsid w:val="00AC6DAA"/>
    <w:rsid w:val="00AD233C"/>
    <w:rsid w:val="00AE197B"/>
    <w:rsid w:val="00AE3A95"/>
    <w:rsid w:val="00AE569C"/>
    <w:rsid w:val="00AF1220"/>
    <w:rsid w:val="00AF4FE6"/>
    <w:rsid w:val="00B00042"/>
    <w:rsid w:val="00B040D3"/>
    <w:rsid w:val="00B10778"/>
    <w:rsid w:val="00B1632A"/>
    <w:rsid w:val="00B21A11"/>
    <w:rsid w:val="00B23754"/>
    <w:rsid w:val="00B24621"/>
    <w:rsid w:val="00B34571"/>
    <w:rsid w:val="00B3510B"/>
    <w:rsid w:val="00B361EC"/>
    <w:rsid w:val="00B44CBA"/>
    <w:rsid w:val="00B477BE"/>
    <w:rsid w:val="00B60394"/>
    <w:rsid w:val="00B60C82"/>
    <w:rsid w:val="00B63DEF"/>
    <w:rsid w:val="00B7241D"/>
    <w:rsid w:val="00B755E3"/>
    <w:rsid w:val="00B80A66"/>
    <w:rsid w:val="00B81D50"/>
    <w:rsid w:val="00B866BA"/>
    <w:rsid w:val="00B93CB9"/>
    <w:rsid w:val="00BA272B"/>
    <w:rsid w:val="00BB2D40"/>
    <w:rsid w:val="00BB7265"/>
    <w:rsid w:val="00BC01D8"/>
    <w:rsid w:val="00BC0257"/>
    <w:rsid w:val="00BC07EB"/>
    <w:rsid w:val="00BC2EA1"/>
    <w:rsid w:val="00BD0C6E"/>
    <w:rsid w:val="00BE35B8"/>
    <w:rsid w:val="00BE3BBC"/>
    <w:rsid w:val="00BF02E1"/>
    <w:rsid w:val="00BF0D8B"/>
    <w:rsid w:val="00BF7292"/>
    <w:rsid w:val="00C027AE"/>
    <w:rsid w:val="00C045D9"/>
    <w:rsid w:val="00C05ECB"/>
    <w:rsid w:val="00C10C72"/>
    <w:rsid w:val="00C160D3"/>
    <w:rsid w:val="00C204BF"/>
    <w:rsid w:val="00C24592"/>
    <w:rsid w:val="00C31F3F"/>
    <w:rsid w:val="00C32344"/>
    <w:rsid w:val="00C34D62"/>
    <w:rsid w:val="00C37067"/>
    <w:rsid w:val="00C37B0E"/>
    <w:rsid w:val="00C41000"/>
    <w:rsid w:val="00C4298B"/>
    <w:rsid w:val="00C53DB8"/>
    <w:rsid w:val="00C604CA"/>
    <w:rsid w:val="00C617A8"/>
    <w:rsid w:val="00C6441B"/>
    <w:rsid w:val="00C75B9D"/>
    <w:rsid w:val="00C77EC4"/>
    <w:rsid w:val="00C8122C"/>
    <w:rsid w:val="00C8742E"/>
    <w:rsid w:val="00C92CF7"/>
    <w:rsid w:val="00C977CE"/>
    <w:rsid w:val="00CA4272"/>
    <w:rsid w:val="00CA5225"/>
    <w:rsid w:val="00CB65E5"/>
    <w:rsid w:val="00CC22D2"/>
    <w:rsid w:val="00CC4BA7"/>
    <w:rsid w:val="00CC7B2E"/>
    <w:rsid w:val="00CD2939"/>
    <w:rsid w:val="00CD4422"/>
    <w:rsid w:val="00CD5669"/>
    <w:rsid w:val="00CD77A0"/>
    <w:rsid w:val="00CE3FEF"/>
    <w:rsid w:val="00CE7655"/>
    <w:rsid w:val="00CF2253"/>
    <w:rsid w:val="00D0190B"/>
    <w:rsid w:val="00D026EF"/>
    <w:rsid w:val="00D05460"/>
    <w:rsid w:val="00D06EAD"/>
    <w:rsid w:val="00D070A7"/>
    <w:rsid w:val="00D078AD"/>
    <w:rsid w:val="00D11633"/>
    <w:rsid w:val="00D12F5D"/>
    <w:rsid w:val="00D135E8"/>
    <w:rsid w:val="00D173DB"/>
    <w:rsid w:val="00D21110"/>
    <w:rsid w:val="00D26243"/>
    <w:rsid w:val="00D307DF"/>
    <w:rsid w:val="00D37954"/>
    <w:rsid w:val="00D41A14"/>
    <w:rsid w:val="00D44674"/>
    <w:rsid w:val="00D47C83"/>
    <w:rsid w:val="00D47E2C"/>
    <w:rsid w:val="00D50249"/>
    <w:rsid w:val="00D61021"/>
    <w:rsid w:val="00D6210A"/>
    <w:rsid w:val="00D6451E"/>
    <w:rsid w:val="00D65259"/>
    <w:rsid w:val="00D72333"/>
    <w:rsid w:val="00D740A8"/>
    <w:rsid w:val="00D75672"/>
    <w:rsid w:val="00D756A6"/>
    <w:rsid w:val="00D76EDE"/>
    <w:rsid w:val="00D80B41"/>
    <w:rsid w:val="00D86C4E"/>
    <w:rsid w:val="00D91A90"/>
    <w:rsid w:val="00D9377A"/>
    <w:rsid w:val="00D94605"/>
    <w:rsid w:val="00D95ABE"/>
    <w:rsid w:val="00DB465B"/>
    <w:rsid w:val="00DC19C5"/>
    <w:rsid w:val="00DC2F3B"/>
    <w:rsid w:val="00DC5545"/>
    <w:rsid w:val="00DC6DE1"/>
    <w:rsid w:val="00DC7714"/>
    <w:rsid w:val="00DC7802"/>
    <w:rsid w:val="00DC7C02"/>
    <w:rsid w:val="00DD1DFF"/>
    <w:rsid w:val="00DD416A"/>
    <w:rsid w:val="00DD679C"/>
    <w:rsid w:val="00DD7C1B"/>
    <w:rsid w:val="00DD7F67"/>
    <w:rsid w:val="00DE0E07"/>
    <w:rsid w:val="00DE5788"/>
    <w:rsid w:val="00DE732F"/>
    <w:rsid w:val="00DE7F74"/>
    <w:rsid w:val="00DF5C6D"/>
    <w:rsid w:val="00E011E6"/>
    <w:rsid w:val="00E03406"/>
    <w:rsid w:val="00E05A32"/>
    <w:rsid w:val="00E06CFB"/>
    <w:rsid w:val="00E10182"/>
    <w:rsid w:val="00E1142A"/>
    <w:rsid w:val="00E17C80"/>
    <w:rsid w:val="00E21CC3"/>
    <w:rsid w:val="00E21FBA"/>
    <w:rsid w:val="00E25C46"/>
    <w:rsid w:val="00E307F0"/>
    <w:rsid w:val="00E37AD6"/>
    <w:rsid w:val="00E41E56"/>
    <w:rsid w:val="00E446E7"/>
    <w:rsid w:val="00E47A2D"/>
    <w:rsid w:val="00E5405E"/>
    <w:rsid w:val="00E577F5"/>
    <w:rsid w:val="00E6054E"/>
    <w:rsid w:val="00E60905"/>
    <w:rsid w:val="00E834D0"/>
    <w:rsid w:val="00E84B01"/>
    <w:rsid w:val="00E931A6"/>
    <w:rsid w:val="00E93D2D"/>
    <w:rsid w:val="00E966EA"/>
    <w:rsid w:val="00EA1B21"/>
    <w:rsid w:val="00EA57FF"/>
    <w:rsid w:val="00EC0537"/>
    <w:rsid w:val="00EC32DA"/>
    <w:rsid w:val="00EC4AF0"/>
    <w:rsid w:val="00EC4DC0"/>
    <w:rsid w:val="00ED1A4E"/>
    <w:rsid w:val="00EE257B"/>
    <w:rsid w:val="00EF2B05"/>
    <w:rsid w:val="00EF3F48"/>
    <w:rsid w:val="00EF470B"/>
    <w:rsid w:val="00EF73FE"/>
    <w:rsid w:val="00F016EC"/>
    <w:rsid w:val="00F06FC3"/>
    <w:rsid w:val="00F11024"/>
    <w:rsid w:val="00F148A7"/>
    <w:rsid w:val="00F15873"/>
    <w:rsid w:val="00F15D90"/>
    <w:rsid w:val="00F1638A"/>
    <w:rsid w:val="00F165E2"/>
    <w:rsid w:val="00F17763"/>
    <w:rsid w:val="00F230FE"/>
    <w:rsid w:val="00F24483"/>
    <w:rsid w:val="00F25822"/>
    <w:rsid w:val="00F33240"/>
    <w:rsid w:val="00F33513"/>
    <w:rsid w:val="00F356F3"/>
    <w:rsid w:val="00F35EAE"/>
    <w:rsid w:val="00F43708"/>
    <w:rsid w:val="00F4478B"/>
    <w:rsid w:val="00F44DD2"/>
    <w:rsid w:val="00F47D9E"/>
    <w:rsid w:val="00F50EC5"/>
    <w:rsid w:val="00F5745A"/>
    <w:rsid w:val="00F65369"/>
    <w:rsid w:val="00F71B5E"/>
    <w:rsid w:val="00F71F5D"/>
    <w:rsid w:val="00F74A77"/>
    <w:rsid w:val="00F83F59"/>
    <w:rsid w:val="00F84024"/>
    <w:rsid w:val="00FA64E2"/>
    <w:rsid w:val="00FB3534"/>
    <w:rsid w:val="00FB49FE"/>
    <w:rsid w:val="00FC09C3"/>
    <w:rsid w:val="00FC0C83"/>
    <w:rsid w:val="00FC4212"/>
    <w:rsid w:val="00FC47B8"/>
    <w:rsid w:val="00FC7049"/>
    <w:rsid w:val="00FE1712"/>
    <w:rsid w:val="00FE3A5C"/>
    <w:rsid w:val="00FE3E3D"/>
    <w:rsid w:val="00FF06BB"/>
    <w:rsid w:val="00FF181E"/>
    <w:rsid w:val="00FF2717"/>
    <w:rsid w:val="00FF2D94"/>
    <w:rsid w:val="00FF59B5"/>
    <w:rsid w:val="00FF70D2"/>
    <w:rsid w:val="017512C5"/>
    <w:rsid w:val="3DAE5928"/>
    <w:rsid w:val="640062A6"/>
    <w:rsid w:val="7B1C60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8"/>
    <w:semiHidden/>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0">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link w:val="33"/>
    <w:qFormat/>
    <w:uiPriority w:val="0"/>
    <w:pPr>
      <w:spacing w:line="560" w:lineRule="exact"/>
      <w:ind w:firstLine="645"/>
    </w:pPr>
    <w:rPr>
      <w:rFonts w:ascii="仿宋" w:hAnsi="Times New Roman"/>
      <w:szCs w:val="32"/>
    </w:rPr>
  </w:style>
  <w:style w:type="paragraph" w:styleId="5">
    <w:name w:val="Date"/>
    <w:basedOn w:val="1"/>
    <w:next w:val="1"/>
    <w:link w:val="35"/>
    <w:semiHidden/>
    <w:unhideWhenUsed/>
    <w:qFormat/>
    <w:uiPriority w:val="99"/>
    <w:pPr>
      <w:ind w:left="100" w:leftChars="2500"/>
    </w:pPr>
  </w:style>
  <w:style w:type="paragraph" w:styleId="6">
    <w:name w:val="Balloon Text"/>
    <w:basedOn w:val="1"/>
    <w:link w:val="32"/>
    <w:semiHidden/>
    <w:unhideWhenUsed/>
    <w:qFormat/>
    <w:uiPriority w:val="99"/>
    <w:rPr>
      <w:sz w:val="18"/>
      <w:szCs w:val="18"/>
    </w:rPr>
  </w:style>
  <w:style w:type="paragraph" w:styleId="7">
    <w:name w:val="footer"/>
    <w:basedOn w:val="1"/>
    <w:link w:val="24"/>
    <w:unhideWhenUsed/>
    <w:qFormat/>
    <w:uiPriority w:val="99"/>
    <w:pPr>
      <w:tabs>
        <w:tab w:val="center" w:pos="4153"/>
        <w:tab w:val="right" w:pos="8306"/>
      </w:tabs>
      <w:snapToGrid w:val="0"/>
      <w:jc w:val="left"/>
    </w:pPr>
    <w:rPr>
      <w:sz w:val="18"/>
      <w:szCs w:val="18"/>
    </w:rPr>
  </w:style>
  <w:style w:type="paragraph" w:styleId="8">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semiHidden/>
    <w:unhideWhenUsed/>
    <w:qFormat/>
    <w:uiPriority w:val="99"/>
    <w:rPr>
      <w:color w:val="0000FF"/>
      <w:u w:val="single"/>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6">
    <w:name w:val="标题 1 Char"/>
    <w:basedOn w:val="10"/>
    <w:link w:val="2"/>
    <w:qFormat/>
    <w:uiPriority w:val="9"/>
    <w:rPr>
      <w:rFonts w:ascii="宋体" w:hAnsi="宋体" w:eastAsia="宋体" w:cs="宋体"/>
      <w:b/>
      <w:bCs/>
      <w:kern w:val="36"/>
      <w:sz w:val="48"/>
      <w:szCs w:val="48"/>
    </w:rPr>
  </w:style>
  <w:style w:type="character" w:customStyle="1" w:styleId="17">
    <w:name w:val="apple-converted-space"/>
    <w:basedOn w:val="10"/>
    <w:qFormat/>
    <w:uiPriority w:val="0"/>
  </w:style>
  <w:style w:type="character" w:customStyle="1" w:styleId="18">
    <w:name w:val="font"/>
    <w:basedOn w:val="10"/>
    <w:qFormat/>
    <w:uiPriority w:val="0"/>
  </w:style>
  <w:style w:type="character" w:customStyle="1" w:styleId="19">
    <w:name w:val="bigger"/>
    <w:basedOn w:val="10"/>
    <w:uiPriority w:val="0"/>
  </w:style>
  <w:style w:type="character" w:customStyle="1" w:styleId="20">
    <w:name w:val="medium"/>
    <w:basedOn w:val="10"/>
    <w:qFormat/>
    <w:uiPriority w:val="0"/>
  </w:style>
  <w:style w:type="character" w:customStyle="1" w:styleId="21">
    <w:name w:val="smaller"/>
    <w:basedOn w:val="10"/>
    <w:uiPriority w:val="0"/>
  </w:style>
  <w:style w:type="character" w:customStyle="1" w:styleId="22">
    <w:name w:val="gwds_more"/>
    <w:basedOn w:val="10"/>
    <w:uiPriority w:val="0"/>
  </w:style>
  <w:style w:type="character" w:customStyle="1" w:styleId="23">
    <w:name w:val="页眉 Char"/>
    <w:basedOn w:val="10"/>
    <w:link w:val="8"/>
    <w:qFormat/>
    <w:uiPriority w:val="99"/>
    <w:rPr>
      <w:kern w:val="2"/>
      <w:sz w:val="18"/>
      <w:szCs w:val="18"/>
    </w:rPr>
  </w:style>
  <w:style w:type="character" w:customStyle="1" w:styleId="24">
    <w:name w:val="页脚 Char"/>
    <w:basedOn w:val="10"/>
    <w:link w:val="7"/>
    <w:qFormat/>
    <w:uiPriority w:val="99"/>
    <w:rPr>
      <w:kern w:val="2"/>
      <w:sz w:val="18"/>
      <w:szCs w:val="18"/>
    </w:rPr>
  </w:style>
  <w:style w:type="paragraph" w:customStyle="1" w:styleId="25">
    <w:name w:val="cardlist-valu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
    <w:name w:val="cardlist-name"/>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27">
    <w:name w:val="doc_title"/>
    <w:basedOn w:val="10"/>
    <w:qFormat/>
    <w:uiPriority w:val="0"/>
  </w:style>
  <w:style w:type="character" w:customStyle="1" w:styleId="28">
    <w:name w:val="标题 2 Char"/>
    <w:basedOn w:val="10"/>
    <w:link w:val="3"/>
    <w:semiHidden/>
    <w:uiPriority w:val="9"/>
    <w:rPr>
      <w:rFonts w:asciiTheme="majorHAnsi" w:hAnsiTheme="majorHAnsi" w:eastAsiaTheme="majorEastAsia" w:cstheme="majorBidi"/>
      <w:b/>
      <w:bCs/>
      <w:kern w:val="2"/>
      <w:sz w:val="32"/>
      <w:szCs w:val="32"/>
    </w:rPr>
  </w:style>
  <w:style w:type="character" w:customStyle="1" w:styleId="29">
    <w:name w:val="标题1"/>
    <w:basedOn w:val="10"/>
    <w:uiPriority w:val="0"/>
  </w:style>
  <w:style w:type="character" w:customStyle="1" w:styleId="30">
    <w:name w:val="txt12"/>
    <w:basedOn w:val="10"/>
    <w:qFormat/>
    <w:uiPriority w:val="0"/>
  </w:style>
  <w:style w:type="character" w:customStyle="1" w:styleId="31">
    <w:name w:val="日期1"/>
    <w:basedOn w:val="10"/>
    <w:qFormat/>
    <w:uiPriority w:val="0"/>
  </w:style>
  <w:style w:type="character" w:customStyle="1" w:styleId="32">
    <w:name w:val="批注框文本 Char"/>
    <w:basedOn w:val="10"/>
    <w:link w:val="6"/>
    <w:semiHidden/>
    <w:qFormat/>
    <w:uiPriority w:val="99"/>
    <w:rPr>
      <w:rFonts w:eastAsia="仿宋"/>
      <w:kern w:val="2"/>
      <w:sz w:val="18"/>
      <w:szCs w:val="18"/>
    </w:rPr>
  </w:style>
  <w:style w:type="character" w:customStyle="1" w:styleId="33">
    <w:name w:val="正文文本缩进 Char"/>
    <w:basedOn w:val="10"/>
    <w:link w:val="4"/>
    <w:uiPriority w:val="0"/>
    <w:rPr>
      <w:rFonts w:ascii="仿宋" w:hAnsi="Times New Roman" w:eastAsia="仿宋"/>
      <w:kern w:val="2"/>
      <w:sz w:val="32"/>
      <w:szCs w:val="32"/>
    </w:rPr>
  </w:style>
  <w:style w:type="paragraph" w:styleId="34">
    <w:name w:val="List Paragraph"/>
    <w:basedOn w:val="1"/>
    <w:qFormat/>
    <w:uiPriority w:val="34"/>
    <w:pPr>
      <w:widowControl/>
      <w:ind w:firstLine="420" w:firstLineChars="200"/>
      <w:jc w:val="left"/>
    </w:pPr>
    <w:rPr>
      <w:rFonts w:ascii="宋体" w:hAnsi="宋体" w:eastAsia="宋体" w:cs="宋体"/>
      <w:kern w:val="0"/>
      <w:sz w:val="24"/>
      <w:szCs w:val="24"/>
    </w:rPr>
  </w:style>
  <w:style w:type="character" w:customStyle="1" w:styleId="35">
    <w:name w:val="日期 Char"/>
    <w:basedOn w:val="10"/>
    <w:link w:val="5"/>
    <w:semiHidden/>
    <w:uiPriority w:val="99"/>
    <w:rPr>
      <w:rFonts w:eastAsia="仿宋"/>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B50807-DACF-45C2-BA80-444C0DE6AD3D}">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22</Pages>
  <Words>1790</Words>
  <Characters>10208</Characters>
  <Lines>85</Lines>
  <Paragraphs>23</Paragraphs>
  <TotalTime>1244</TotalTime>
  <ScaleCrop>false</ScaleCrop>
  <LinksUpToDate>false</LinksUpToDate>
  <CharactersWithSpaces>11975</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2019-07-31T00:52:00Z</dcterms:created>
  <dc:creator>mycomputer</dc:creator>
  <cp:lastModifiedBy>晴天1417358601</cp:lastModifiedBy>
  <cp:lastPrinted>2019-08-19T01:13:00Z</cp:lastPrinted>
  <dcterms:modified xsi:type="dcterms:W3CDTF">2020-03-31T01:07:29Z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