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54A" w:rsidRDefault="000F254A" w:rsidP="000F254A">
      <w:pPr>
        <w:pStyle w:val="a0"/>
        <w:spacing w:line="600" w:lineRule="exact"/>
        <w:ind w:firstLineChars="0" w:firstLine="0"/>
        <w:jc w:val="lef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</w:p>
    <w:p w:rsidR="000F254A" w:rsidRDefault="000F254A" w:rsidP="000F254A">
      <w:pPr>
        <w:pStyle w:val="a0"/>
        <w:spacing w:line="6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2021年下半年全省典型执法案例报送情况统计表</w:t>
      </w:r>
    </w:p>
    <w:bookmarkEnd w:id="0"/>
    <w:p w:rsidR="000F254A" w:rsidRDefault="000F254A" w:rsidP="000F254A">
      <w:pPr>
        <w:pStyle w:val="a0"/>
        <w:spacing w:line="240" w:lineRule="exact"/>
        <w:ind w:firstLineChars="0" w:firstLine="0"/>
        <w:jc w:val="center"/>
        <w:rPr>
          <w:rFonts w:ascii="黑体" w:eastAsia="黑体" w:hAnsi="黑体" w:cs="黑体"/>
          <w:szCs w:val="32"/>
        </w:rPr>
      </w:pPr>
    </w:p>
    <w:tbl>
      <w:tblPr>
        <w:tblStyle w:val="a4"/>
        <w:tblW w:w="13609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850"/>
        <w:gridCol w:w="851"/>
        <w:gridCol w:w="1134"/>
        <w:gridCol w:w="1701"/>
        <w:gridCol w:w="992"/>
        <w:gridCol w:w="1134"/>
        <w:gridCol w:w="1701"/>
        <w:gridCol w:w="1418"/>
        <w:gridCol w:w="1417"/>
      </w:tblGrid>
      <w:tr w:rsidR="000F254A" w:rsidTr="001C3BEA">
        <w:trPr>
          <w:trHeight w:val="500"/>
          <w:jc w:val="center"/>
        </w:trPr>
        <w:tc>
          <w:tcPr>
            <w:tcW w:w="852" w:type="dxa"/>
          </w:tcPr>
          <w:p w:rsidR="000F254A" w:rsidRDefault="000F254A" w:rsidP="001C3BEA">
            <w:pPr>
              <w:pStyle w:val="a0"/>
              <w:ind w:firstLineChars="0" w:firstLine="0"/>
              <w:jc w:val="center"/>
              <w:rPr>
                <w:rFonts w:ascii="黑体" w:eastAsia="黑体" w:hAnsi="黑体" w:cs="黑体"/>
                <w:color w:val="333333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sz w:val="24"/>
                <w:shd w:val="clear" w:color="auto" w:fill="FFFFFF"/>
              </w:rPr>
              <w:t>序号</w:t>
            </w:r>
          </w:p>
        </w:tc>
        <w:tc>
          <w:tcPr>
            <w:tcW w:w="1559" w:type="dxa"/>
          </w:tcPr>
          <w:p w:rsidR="000F254A" w:rsidRDefault="000F254A" w:rsidP="001C3BEA">
            <w:pPr>
              <w:pStyle w:val="a0"/>
              <w:ind w:firstLineChars="0" w:firstLine="0"/>
              <w:jc w:val="center"/>
              <w:rPr>
                <w:rFonts w:ascii="黑体" w:eastAsia="黑体" w:hAnsi="黑体" w:cs="黑体"/>
                <w:color w:val="333333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sz w:val="24"/>
                <w:shd w:val="clear" w:color="auto" w:fill="FFFFFF"/>
              </w:rPr>
              <w:t>单   位</w:t>
            </w:r>
          </w:p>
        </w:tc>
        <w:tc>
          <w:tcPr>
            <w:tcW w:w="850" w:type="dxa"/>
          </w:tcPr>
          <w:p w:rsidR="000F254A" w:rsidRDefault="000F254A" w:rsidP="001C3BEA">
            <w:pPr>
              <w:pStyle w:val="a0"/>
              <w:ind w:firstLineChars="0" w:firstLine="0"/>
              <w:jc w:val="center"/>
              <w:rPr>
                <w:rFonts w:ascii="黑体" w:eastAsia="黑体" w:hAnsi="黑体" w:cs="黑体"/>
                <w:color w:val="333333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sz w:val="24"/>
                <w:shd w:val="clear" w:color="auto" w:fill="FFFFFF"/>
              </w:rPr>
              <w:t>应报</w:t>
            </w:r>
          </w:p>
        </w:tc>
        <w:tc>
          <w:tcPr>
            <w:tcW w:w="851" w:type="dxa"/>
          </w:tcPr>
          <w:p w:rsidR="000F254A" w:rsidRDefault="000F254A" w:rsidP="001C3BEA">
            <w:pPr>
              <w:pStyle w:val="a0"/>
              <w:ind w:firstLineChars="0" w:firstLine="0"/>
              <w:jc w:val="center"/>
              <w:rPr>
                <w:rFonts w:ascii="黑体" w:eastAsia="黑体" w:hAnsi="黑体" w:cs="黑体"/>
                <w:color w:val="333333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sz w:val="24"/>
                <w:shd w:val="clear" w:color="auto" w:fill="FFFFFF"/>
              </w:rPr>
              <w:t>实报</w:t>
            </w:r>
          </w:p>
        </w:tc>
        <w:tc>
          <w:tcPr>
            <w:tcW w:w="1134" w:type="dxa"/>
          </w:tcPr>
          <w:p w:rsidR="000F254A" w:rsidRDefault="000F254A" w:rsidP="001C3BEA">
            <w:pPr>
              <w:pStyle w:val="a0"/>
              <w:ind w:firstLineChars="0" w:firstLine="0"/>
              <w:jc w:val="center"/>
              <w:rPr>
                <w:rFonts w:ascii="黑体" w:eastAsia="黑体" w:hAnsi="黑体" w:cs="黑体"/>
                <w:color w:val="333333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sz w:val="24"/>
                <w:shd w:val="clear" w:color="auto" w:fill="FFFFFF"/>
              </w:rPr>
              <w:t>报送率</w:t>
            </w:r>
          </w:p>
        </w:tc>
        <w:tc>
          <w:tcPr>
            <w:tcW w:w="1701" w:type="dxa"/>
          </w:tcPr>
          <w:p w:rsidR="000F254A" w:rsidRDefault="000F254A" w:rsidP="001C3BEA">
            <w:pPr>
              <w:pStyle w:val="a0"/>
              <w:ind w:firstLineChars="0" w:firstLine="0"/>
              <w:jc w:val="center"/>
              <w:rPr>
                <w:rFonts w:ascii="黑体" w:eastAsia="黑体" w:hAnsi="黑体" w:cs="黑体"/>
                <w:color w:val="333333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sz w:val="24"/>
                <w:shd w:val="clear" w:color="auto" w:fill="FFFFFF"/>
              </w:rPr>
              <w:t>报送率排名</w:t>
            </w:r>
          </w:p>
        </w:tc>
        <w:tc>
          <w:tcPr>
            <w:tcW w:w="992" w:type="dxa"/>
          </w:tcPr>
          <w:p w:rsidR="000F254A" w:rsidRDefault="000F254A" w:rsidP="001C3BEA">
            <w:pPr>
              <w:pStyle w:val="a0"/>
              <w:ind w:firstLineChars="0" w:firstLine="0"/>
              <w:jc w:val="center"/>
              <w:rPr>
                <w:rFonts w:ascii="黑体" w:eastAsia="黑体" w:hAnsi="黑体" w:cs="黑体"/>
                <w:color w:val="333333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sz w:val="24"/>
                <w:shd w:val="clear" w:color="auto" w:fill="FFFFFF"/>
              </w:rPr>
              <w:t>合格数</w:t>
            </w:r>
          </w:p>
        </w:tc>
        <w:tc>
          <w:tcPr>
            <w:tcW w:w="1134" w:type="dxa"/>
          </w:tcPr>
          <w:p w:rsidR="000F254A" w:rsidRDefault="000F254A" w:rsidP="001C3BEA">
            <w:pPr>
              <w:pStyle w:val="a0"/>
              <w:ind w:firstLineChars="0" w:firstLine="0"/>
              <w:jc w:val="center"/>
              <w:rPr>
                <w:rFonts w:ascii="黑体" w:eastAsia="黑体" w:hAnsi="黑体" w:cs="黑体"/>
                <w:color w:val="333333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sz w:val="24"/>
                <w:shd w:val="clear" w:color="auto" w:fill="FFFFFF"/>
              </w:rPr>
              <w:t>合格率</w:t>
            </w:r>
          </w:p>
        </w:tc>
        <w:tc>
          <w:tcPr>
            <w:tcW w:w="1701" w:type="dxa"/>
          </w:tcPr>
          <w:p w:rsidR="000F254A" w:rsidRDefault="000F254A" w:rsidP="001C3BEA">
            <w:pPr>
              <w:pStyle w:val="a0"/>
              <w:ind w:firstLineChars="0" w:firstLine="0"/>
              <w:jc w:val="center"/>
              <w:rPr>
                <w:rFonts w:ascii="黑体" w:eastAsia="黑体" w:hAnsi="黑体" w:cs="黑体"/>
                <w:color w:val="333333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sz w:val="24"/>
                <w:shd w:val="clear" w:color="auto" w:fill="FFFFFF"/>
              </w:rPr>
              <w:t>合格率排名</w:t>
            </w:r>
          </w:p>
        </w:tc>
        <w:tc>
          <w:tcPr>
            <w:tcW w:w="1418" w:type="dxa"/>
          </w:tcPr>
          <w:p w:rsidR="000F254A" w:rsidRDefault="000F254A" w:rsidP="001C3BEA">
            <w:pPr>
              <w:pStyle w:val="a0"/>
              <w:ind w:firstLineChars="0" w:firstLine="0"/>
              <w:jc w:val="center"/>
              <w:rPr>
                <w:rFonts w:ascii="黑体" w:eastAsia="黑体" w:hAnsi="黑体" w:cs="黑体"/>
                <w:color w:val="333333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sz w:val="24"/>
                <w:shd w:val="clear" w:color="auto" w:fill="FFFFFF"/>
              </w:rPr>
              <w:t>市级合格率</w:t>
            </w:r>
          </w:p>
        </w:tc>
        <w:tc>
          <w:tcPr>
            <w:tcW w:w="1417" w:type="dxa"/>
          </w:tcPr>
          <w:p w:rsidR="000F254A" w:rsidRDefault="000F254A" w:rsidP="001C3BEA">
            <w:pPr>
              <w:pStyle w:val="a0"/>
              <w:ind w:firstLineChars="0" w:firstLine="0"/>
              <w:jc w:val="center"/>
              <w:rPr>
                <w:rFonts w:ascii="黑体" w:eastAsia="黑体" w:hAnsi="黑体" w:cs="黑体"/>
                <w:color w:val="333333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sz w:val="24"/>
                <w:shd w:val="clear" w:color="auto" w:fill="FFFFFF"/>
              </w:rPr>
              <w:t>县级合格率</w:t>
            </w:r>
          </w:p>
        </w:tc>
      </w:tr>
      <w:tr w:rsidR="000F254A" w:rsidTr="001C3BEA">
        <w:trPr>
          <w:trHeight w:val="391"/>
          <w:jc w:val="center"/>
        </w:trPr>
        <w:tc>
          <w:tcPr>
            <w:tcW w:w="852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  <w:t>陕西省总计</w:t>
            </w:r>
          </w:p>
        </w:tc>
        <w:tc>
          <w:tcPr>
            <w:tcW w:w="850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300</w:t>
            </w:r>
          </w:p>
        </w:tc>
        <w:tc>
          <w:tcPr>
            <w:tcW w:w="851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307</w:t>
            </w:r>
          </w:p>
        </w:tc>
        <w:tc>
          <w:tcPr>
            <w:tcW w:w="1134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100%</w:t>
            </w:r>
          </w:p>
        </w:tc>
        <w:tc>
          <w:tcPr>
            <w:tcW w:w="1701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全国并列第1</w:t>
            </w:r>
          </w:p>
        </w:tc>
        <w:tc>
          <w:tcPr>
            <w:tcW w:w="992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146</w:t>
            </w:r>
          </w:p>
        </w:tc>
        <w:tc>
          <w:tcPr>
            <w:tcW w:w="1134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47.56%</w:t>
            </w:r>
          </w:p>
        </w:tc>
        <w:tc>
          <w:tcPr>
            <w:tcW w:w="1701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全国排名第14</w:t>
            </w:r>
          </w:p>
        </w:tc>
        <w:tc>
          <w:tcPr>
            <w:tcW w:w="1418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</w:p>
        </w:tc>
      </w:tr>
      <w:tr w:rsidR="000F254A" w:rsidTr="001C3BEA">
        <w:trPr>
          <w:trHeight w:val="391"/>
          <w:jc w:val="center"/>
        </w:trPr>
        <w:tc>
          <w:tcPr>
            <w:tcW w:w="852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2</w:t>
            </w:r>
          </w:p>
        </w:tc>
        <w:tc>
          <w:tcPr>
            <w:tcW w:w="1559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  <w:t>陕西省本级</w:t>
            </w:r>
          </w:p>
        </w:tc>
        <w:tc>
          <w:tcPr>
            <w:tcW w:w="850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1</w:t>
            </w:r>
          </w:p>
        </w:tc>
        <w:tc>
          <w:tcPr>
            <w:tcW w:w="851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100%</w:t>
            </w:r>
          </w:p>
        </w:tc>
        <w:tc>
          <w:tcPr>
            <w:tcW w:w="1701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100%</w:t>
            </w:r>
          </w:p>
        </w:tc>
        <w:tc>
          <w:tcPr>
            <w:tcW w:w="1701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</w:p>
        </w:tc>
      </w:tr>
      <w:tr w:rsidR="000F254A" w:rsidTr="001C3BEA">
        <w:trPr>
          <w:trHeight w:val="391"/>
          <w:jc w:val="center"/>
        </w:trPr>
        <w:tc>
          <w:tcPr>
            <w:tcW w:w="852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3</w:t>
            </w:r>
          </w:p>
        </w:tc>
        <w:tc>
          <w:tcPr>
            <w:tcW w:w="1559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  <w:t>市级小计</w:t>
            </w:r>
          </w:p>
        </w:tc>
        <w:tc>
          <w:tcPr>
            <w:tcW w:w="850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299</w:t>
            </w:r>
          </w:p>
        </w:tc>
        <w:tc>
          <w:tcPr>
            <w:tcW w:w="851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306</w:t>
            </w:r>
          </w:p>
        </w:tc>
        <w:tc>
          <w:tcPr>
            <w:tcW w:w="1134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100%</w:t>
            </w:r>
          </w:p>
        </w:tc>
        <w:tc>
          <w:tcPr>
            <w:tcW w:w="1701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145</w:t>
            </w:r>
          </w:p>
        </w:tc>
        <w:tc>
          <w:tcPr>
            <w:tcW w:w="1134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47.39%</w:t>
            </w:r>
          </w:p>
        </w:tc>
        <w:tc>
          <w:tcPr>
            <w:tcW w:w="1701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77.78%</w:t>
            </w:r>
          </w:p>
        </w:tc>
        <w:tc>
          <w:tcPr>
            <w:tcW w:w="1417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44.44%</w:t>
            </w:r>
          </w:p>
        </w:tc>
      </w:tr>
      <w:tr w:rsidR="000F254A" w:rsidTr="001C3BEA">
        <w:trPr>
          <w:trHeight w:val="391"/>
          <w:jc w:val="center"/>
        </w:trPr>
        <w:tc>
          <w:tcPr>
            <w:tcW w:w="852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4</w:t>
            </w:r>
          </w:p>
        </w:tc>
        <w:tc>
          <w:tcPr>
            <w:tcW w:w="1559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  <w:t>西安市</w:t>
            </w:r>
          </w:p>
        </w:tc>
        <w:tc>
          <w:tcPr>
            <w:tcW w:w="850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44</w:t>
            </w:r>
          </w:p>
        </w:tc>
        <w:tc>
          <w:tcPr>
            <w:tcW w:w="851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45</w:t>
            </w:r>
          </w:p>
        </w:tc>
        <w:tc>
          <w:tcPr>
            <w:tcW w:w="1134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100%</w:t>
            </w:r>
          </w:p>
        </w:tc>
        <w:tc>
          <w:tcPr>
            <w:tcW w:w="1701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17</w:t>
            </w:r>
          </w:p>
        </w:tc>
        <w:tc>
          <w:tcPr>
            <w:tcW w:w="1134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37.78%</w:t>
            </w:r>
          </w:p>
        </w:tc>
        <w:tc>
          <w:tcPr>
            <w:tcW w:w="1701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8</w:t>
            </w:r>
          </w:p>
        </w:tc>
        <w:tc>
          <w:tcPr>
            <w:tcW w:w="1418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100%</w:t>
            </w:r>
          </w:p>
        </w:tc>
        <w:tc>
          <w:tcPr>
            <w:tcW w:w="1417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33.33%</w:t>
            </w:r>
          </w:p>
        </w:tc>
      </w:tr>
      <w:tr w:rsidR="000F254A" w:rsidTr="001C3BEA">
        <w:trPr>
          <w:trHeight w:val="391"/>
          <w:jc w:val="center"/>
        </w:trPr>
        <w:tc>
          <w:tcPr>
            <w:tcW w:w="852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5</w:t>
            </w:r>
          </w:p>
        </w:tc>
        <w:tc>
          <w:tcPr>
            <w:tcW w:w="1559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  <w:t>咸阳市</w:t>
            </w:r>
          </w:p>
        </w:tc>
        <w:tc>
          <w:tcPr>
            <w:tcW w:w="850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35</w:t>
            </w:r>
          </w:p>
        </w:tc>
        <w:tc>
          <w:tcPr>
            <w:tcW w:w="851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36</w:t>
            </w:r>
          </w:p>
        </w:tc>
        <w:tc>
          <w:tcPr>
            <w:tcW w:w="1134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100%</w:t>
            </w:r>
          </w:p>
        </w:tc>
        <w:tc>
          <w:tcPr>
            <w:tcW w:w="1701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9</w:t>
            </w:r>
          </w:p>
        </w:tc>
        <w:tc>
          <w:tcPr>
            <w:tcW w:w="1134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25%</w:t>
            </w:r>
          </w:p>
        </w:tc>
        <w:tc>
          <w:tcPr>
            <w:tcW w:w="1701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12</w:t>
            </w:r>
          </w:p>
        </w:tc>
        <w:tc>
          <w:tcPr>
            <w:tcW w:w="1418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100%</w:t>
            </w:r>
          </w:p>
        </w:tc>
        <w:tc>
          <w:tcPr>
            <w:tcW w:w="1417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18.18%</w:t>
            </w:r>
          </w:p>
        </w:tc>
      </w:tr>
      <w:tr w:rsidR="000F254A" w:rsidTr="001C3BEA">
        <w:trPr>
          <w:trHeight w:val="391"/>
          <w:jc w:val="center"/>
        </w:trPr>
        <w:tc>
          <w:tcPr>
            <w:tcW w:w="852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6</w:t>
            </w:r>
          </w:p>
        </w:tc>
        <w:tc>
          <w:tcPr>
            <w:tcW w:w="1559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  <w:t>宝鸡市</w:t>
            </w:r>
          </w:p>
        </w:tc>
        <w:tc>
          <w:tcPr>
            <w:tcW w:w="850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32</w:t>
            </w:r>
          </w:p>
        </w:tc>
        <w:tc>
          <w:tcPr>
            <w:tcW w:w="851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32</w:t>
            </w:r>
          </w:p>
        </w:tc>
        <w:tc>
          <w:tcPr>
            <w:tcW w:w="1134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100%</w:t>
            </w:r>
          </w:p>
        </w:tc>
        <w:tc>
          <w:tcPr>
            <w:tcW w:w="1701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9</w:t>
            </w:r>
          </w:p>
        </w:tc>
        <w:tc>
          <w:tcPr>
            <w:tcW w:w="1134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28.13%</w:t>
            </w:r>
          </w:p>
        </w:tc>
        <w:tc>
          <w:tcPr>
            <w:tcW w:w="1701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11</w:t>
            </w:r>
          </w:p>
        </w:tc>
        <w:tc>
          <w:tcPr>
            <w:tcW w:w="1418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100%</w:t>
            </w:r>
          </w:p>
        </w:tc>
        <w:tc>
          <w:tcPr>
            <w:tcW w:w="1417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23.33%</w:t>
            </w:r>
          </w:p>
        </w:tc>
      </w:tr>
      <w:tr w:rsidR="000F254A" w:rsidTr="001C3BEA">
        <w:trPr>
          <w:trHeight w:val="391"/>
          <w:jc w:val="center"/>
        </w:trPr>
        <w:tc>
          <w:tcPr>
            <w:tcW w:w="852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7</w:t>
            </w:r>
          </w:p>
        </w:tc>
        <w:tc>
          <w:tcPr>
            <w:tcW w:w="1559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  <w:t>渭南市</w:t>
            </w:r>
          </w:p>
        </w:tc>
        <w:tc>
          <w:tcPr>
            <w:tcW w:w="850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28</w:t>
            </w:r>
          </w:p>
        </w:tc>
        <w:tc>
          <w:tcPr>
            <w:tcW w:w="851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29</w:t>
            </w:r>
          </w:p>
        </w:tc>
        <w:tc>
          <w:tcPr>
            <w:tcW w:w="1134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100%</w:t>
            </w:r>
          </w:p>
        </w:tc>
        <w:tc>
          <w:tcPr>
            <w:tcW w:w="1701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15</w:t>
            </w:r>
          </w:p>
        </w:tc>
        <w:tc>
          <w:tcPr>
            <w:tcW w:w="1134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51.72%</w:t>
            </w:r>
          </w:p>
        </w:tc>
        <w:tc>
          <w:tcPr>
            <w:tcW w:w="1701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6</w:t>
            </w:r>
          </w:p>
        </w:tc>
        <w:tc>
          <w:tcPr>
            <w:tcW w:w="1418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75%</w:t>
            </w:r>
          </w:p>
        </w:tc>
        <w:tc>
          <w:tcPr>
            <w:tcW w:w="1417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44.44%</w:t>
            </w:r>
          </w:p>
        </w:tc>
      </w:tr>
      <w:tr w:rsidR="000F254A" w:rsidTr="001C3BEA">
        <w:trPr>
          <w:trHeight w:val="391"/>
          <w:jc w:val="center"/>
        </w:trPr>
        <w:tc>
          <w:tcPr>
            <w:tcW w:w="852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8</w:t>
            </w:r>
          </w:p>
        </w:tc>
        <w:tc>
          <w:tcPr>
            <w:tcW w:w="1559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  <w:t>铜川市</w:t>
            </w:r>
          </w:p>
        </w:tc>
        <w:tc>
          <w:tcPr>
            <w:tcW w:w="850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14</w:t>
            </w:r>
          </w:p>
        </w:tc>
        <w:tc>
          <w:tcPr>
            <w:tcW w:w="851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14</w:t>
            </w:r>
          </w:p>
        </w:tc>
        <w:tc>
          <w:tcPr>
            <w:tcW w:w="1134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100%</w:t>
            </w:r>
          </w:p>
        </w:tc>
        <w:tc>
          <w:tcPr>
            <w:tcW w:w="1701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10</w:t>
            </w:r>
          </w:p>
        </w:tc>
        <w:tc>
          <w:tcPr>
            <w:tcW w:w="1134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71.43%</w:t>
            </w:r>
          </w:p>
        </w:tc>
        <w:tc>
          <w:tcPr>
            <w:tcW w:w="1701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2</w:t>
            </w:r>
          </w:p>
        </w:tc>
        <w:tc>
          <w:tcPr>
            <w:tcW w:w="1418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50%</w:t>
            </w:r>
          </w:p>
        </w:tc>
        <w:tc>
          <w:tcPr>
            <w:tcW w:w="1417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75%</w:t>
            </w:r>
          </w:p>
        </w:tc>
      </w:tr>
      <w:tr w:rsidR="000F254A" w:rsidTr="001C3BEA">
        <w:trPr>
          <w:trHeight w:val="391"/>
          <w:jc w:val="center"/>
        </w:trPr>
        <w:tc>
          <w:tcPr>
            <w:tcW w:w="852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9</w:t>
            </w:r>
          </w:p>
        </w:tc>
        <w:tc>
          <w:tcPr>
            <w:tcW w:w="1559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  <w:t>延安市</w:t>
            </w:r>
          </w:p>
        </w:tc>
        <w:tc>
          <w:tcPr>
            <w:tcW w:w="850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35</w:t>
            </w:r>
          </w:p>
        </w:tc>
        <w:tc>
          <w:tcPr>
            <w:tcW w:w="851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36</w:t>
            </w:r>
          </w:p>
        </w:tc>
        <w:tc>
          <w:tcPr>
            <w:tcW w:w="1134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100%</w:t>
            </w:r>
          </w:p>
        </w:tc>
        <w:tc>
          <w:tcPr>
            <w:tcW w:w="1701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17</w:t>
            </w:r>
          </w:p>
        </w:tc>
        <w:tc>
          <w:tcPr>
            <w:tcW w:w="1134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47.22%</w:t>
            </w:r>
          </w:p>
        </w:tc>
        <w:tc>
          <w:tcPr>
            <w:tcW w:w="1701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9</w:t>
            </w:r>
          </w:p>
        </w:tc>
        <w:tc>
          <w:tcPr>
            <w:tcW w:w="1418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50%</w:t>
            </w:r>
          </w:p>
        </w:tc>
        <w:tc>
          <w:tcPr>
            <w:tcW w:w="1417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47.06%</w:t>
            </w:r>
          </w:p>
        </w:tc>
      </w:tr>
      <w:tr w:rsidR="000F254A" w:rsidTr="001C3BEA">
        <w:trPr>
          <w:trHeight w:val="391"/>
          <w:jc w:val="center"/>
        </w:trPr>
        <w:tc>
          <w:tcPr>
            <w:tcW w:w="852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10</w:t>
            </w:r>
          </w:p>
        </w:tc>
        <w:tc>
          <w:tcPr>
            <w:tcW w:w="1559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  <w:t>汉中市</w:t>
            </w:r>
          </w:p>
        </w:tc>
        <w:tc>
          <w:tcPr>
            <w:tcW w:w="850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29</w:t>
            </w:r>
          </w:p>
        </w:tc>
        <w:tc>
          <w:tcPr>
            <w:tcW w:w="851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30</w:t>
            </w:r>
          </w:p>
        </w:tc>
        <w:tc>
          <w:tcPr>
            <w:tcW w:w="1134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100%</w:t>
            </w:r>
          </w:p>
        </w:tc>
        <w:tc>
          <w:tcPr>
            <w:tcW w:w="1701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24</w:t>
            </w:r>
          </w:p>
        </w:tc>
        <w:tc>
          <w:tcPr>
            <w:tcW w:w="1134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80%</w:t>
            </w:r>
          </w:p>
        </w:tc>
        <w:tc>
          <w:tcPr>
            <w:tcW w:w="1701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100%</w:t>
            </w:r>
          </w:p>
        </w:tc>
        <w:tc>
          <w:tcPr>
            <w:tcW w:w="1417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78.57%</w:t>
            </w:r>
          </w:p>
        </w:tc>
      </w:tr>
      <w:tr w:rsidR="000F254A" w:rsidTr="001C3BEA">
        <w:trPr>
          <w:trHeight w:val="391"/>
          <w:jc w:val="center"/>
        </w:trPr>
        <w:tc>
          <w:tcPr>
            <w:tcW w:w="852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11</w:t>
            </w:r>
          </w:p>
        </w:tc>
        <w:tc>
          <w:tcPr>
            <w:tcW w:w="1559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  <w:t>安康市</w:t>
            </w:r>
          </w:p>
        </w:tc>
        <w:tc>
          <w:tcPr>
            <w:tcW w:w="850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32</w:t>
            </w:r>
          </w:p>
        </w:tc>
        <w:tc>
          <w:tcPr>
            <w:tcW w:w="851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32</w:t>
            </w:r>
          </w:p>
        </w:tc>
        <w:tc>
          <w:tcPr>
            <w:tcW w:w="1134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100%</w:t>
            </w:r>
          </w:p>
        </w:tc>
        <w:tc>
          <w:tcPr>
            <w:tcW w:w="1701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19</w:t>
            </w:r>
          </w:p>
        </w:tc>
        <w:tc>
          <w:tcPr>
            <w:tcW w:w="1134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59.38%</w:t>
            </w:r>
          </w:p>
        </w:tc>
        <w:tc>
          <w:tcPr>
            <w:tcW w:w="1701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4</w:t>
            </w:r>
          </w:p>
        </w:tc>
        <w:tc>
          <w:tcPr>
            <w:tcW w:w="1418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100%</w:t>
            </w:r>
          </w:p>
        </w:tc>
        <w:tc>
          <w:tcPr>
            <w:tcW w:w="1417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56.67%</w:t>
            </w:r>
          </w:p>
        </w:tc>
      </w:tr>
      <w:tr w:rsidR="000F254A" w:rsidTr="001C3BEA">
        <w:trPr>
          <w:trHeight w:val="391"/>
          <w:jc w:val="center"/>
        </w:trPr>
        <w:tc>
          <w:tcPr>
            <w:tcW w:w="852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12</w:t>
            </w:r>
          </w:p>
        </w:tc>
        <w:tc>
          <w:tcPr>
            <w:tcW w:w="1559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  <w:t>榆林市</w:t>
            </w:r>
          </w:p>
        </w:tc>
        <w:tc>
          <w:tcPr>
            <w:tcW w:w="850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26</w:t>
            </w:r>
          </w:p>
        </w:tc>
        <w:tc>
          <w:tcPr>
            <w:tcW w:w="851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28</w:t>
            </w:r>
          </w:p>
        </w:tc>
        <w:tc>
          <w:tcPr>
            <w:tcW w:w="1134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100%</w:t>
            </w:r>
          </w:p>
        </w:tc>
        <w:tc>
          <w:tcPr>
            <w:tcW w:w="1701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16</w:t>
            </w:r>
          </w:p>
        </w:tc>
        <w:tc>
          <w:tcPr>
            <w:tcW w:w="1134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57.14%</w:t>
            </w:r>
          </w:p>
        </w:tc>
        <w:tc>
          <w:tcPr>
            <w:tcW w:w="1701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5</w:t>
            </w:r>
          </w:p>
        </w:tc>
        <w:tc>
          <w:tcPr>
            <w:tcW w:w="1418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100%</w:t>
            </w:r>
          </w:p>
        </w:tc>
        <w:tc>
          <w:tcPr>
            <w:tcW w:w="1417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52%</w:t>
            </w:r>
          </w:p>
        </w:tc>
      </w:tr>
      <w:tr w:rsidR="000F254A" w:rsidTr="001C3BEA">
        <w:trPr>
          <w:trHeight w:val="391"/>
          <w:jc w:val="center"/>
        </w:trPr>
        <w:tc>
          <w:tcPr>
            <w:tcW w:w="852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13</w:t>
            </w:r>
          </w:p>
        </w:tc>
        <w:tc>
          <w:tcPr>
            <w:tcW w:w="1559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proofErr w:type="gramStart"/>
            <w:r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  <w:t>商洛市</w:t>
            </w:r>
            <w:proofErr w:type="gramEnd"/>
          </w:p>
        </w:tc>
        <w:tc>
          <w:tcPr>
            <w:tcW w:w="850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17</w:t>
            </w:r>
          </w:p>
        </w:tc>
        <w:tc>
          <w:tcPr>
            <w:tcW w:w="851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17</w:t>
            </w:r>
          </w:p>
        </w:tc>
        <w:tc>
          <w:tcPr>
            <w:tcW w:w="1134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100%</w:t>
            </w:r>
          </w:p>
        </w:tc>
        <w:tc>
          <w:tcPr>
            <w:tcW w:w="1701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6</w:t>
            </w:r>
          </w:p>
        </w:tc>
        <w:tc>
          <w:tcPr>
            <w:tcW w:w="1134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35.29%</w:t>
            </w:r>
          </w:p>
        </w:tc>
        <w:tc>
          <w:tcPr>
            <w:tcW w:w="1701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10</w:t>
            </w:r>
          </w:p>
        </w:tc>
        <w:tc>
          <w:tcPr>
            <w:tcW w:w="1418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50%</w:t>
            </w:r>
          </w:p>
        </w:tc>
        <w:tc>
          <w:tcPr>
            <w:tcW w:w="1417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33.33%</w:t>
            </w:r>
          </w:p>
        </w:tc>
      </w:tr>
      <w:tr w:rsidR="000F254A" w:rsidTr="001C3BEA">
        <w:trPr>
          <w:trHeight w:val="391"/>
          <w:jc w:val="center"/>
        </w:trPr>
        <w:tc>
          <w:tcPr>
            <w:tcW w:w="852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14</w:t>
            </w:r>
          </w:p>
        </w:tc>
        <w:tc>
          <w:tcPr>
            <w:tcW w:w="1559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  <w:t>韩城市</w:t>
            </w:r>
          </w:p>
        </w:tc>
        <w:tc>
          <w:tcPr>
            <w:tcW w:w="850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2</w:t>
            </w:r>
          </w:p>
        </w:tc>
        <w:tc>
          <w:tcPr>
            <w:tcW w:w="851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100%</w:t>
            </w:r>
          </w:p>
        </w:tc>
        <w:tc>
          <w:tcPr>
            <w:tcW w:w="1701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50%</w:t>
            </w:r>
          </w:p>
        </w:tc>
        <w:tc>
          <w:tcPr>
            <w:tcW w:w="1701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7</w:t>
            </w:r>
          </w:p>
        </w:tc>
        <w:tc>
          <w:tcPr>
            <w:tcW w:w="1418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50%</w:t>
            </w:r>
          </w:p>
        </w:tc>
        <w:tc>
          <w:tcPr>
            <w:tcW w:w="1417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－－</w:t>
            </w:r>
          </w:p>
        </w:tc>
      </w:tr>
      <w:tr w:rsidR="000F254A" w:rsidTr="001C3BEA">
        <w:trPr>
          <w:trHeight w:val="391"/>
          <w:jc w:val="center"/>
        </w:trPr>
        <w:tc>
          <w:tcPr>
            <w:tcW w:w="852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15</w:t>
            </w:r>
          </w:p>
        </w:tc>
        <w:tc>
          <w:tcPr>
            <w:tcW w:w="1559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  <w:t>杨凌示范区</w:t>
            </w:r>
          </w:p>
        </w:tc>
        <w:tc>
          <w:tcPr>
            <w:tcW w:w="850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5</w:t>
            </w:r>
          </w:p>
        </w:tc>
        <w:tc>
          <w:tcPr>
            <w:tcW w:w="851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5</w:t>
            </w:r>
          </w:p>
        </w:tc>
        <w:tc>
          <w:tcPr>
            <w:tcW w:w="1134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100%</w:t>
            </w:r>
          </w:p>
        </w:tc>
        <w:tc>
          <w:tcPr>
            <w:tcW w:w="1701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3</w:t>
            </w:r>
          </w:p>
        </w:tc>
        <w:tc>
          <w:tcPr>
            <w:tcW w:w="1134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60%</w:t>
            </w:r>
          </w:p>
        </w:tc>
        <w:tc>
          <w:tcPr>
            <w:tcW w:w="1701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3</w:t>
            </w:r>
          </w:p>
        </w:tc>
        <w:tc>
          <w:tcPr>
            <w:tcW w:w="1418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0</w:t>
            </w:r>
          </w:p>
        </w:tc>
        <w:tc>
          <w:tcPr>
            <w:tcW w:w="1417" w:type="dxa"/>
            <w:vAlign w:val="center"/>
          </w:tcPr>
          <w:p w:rsidR="000F254A" w:rsidRDefault="000F254A" w:rsidP="001C3BEA">
            <w:pPr>
              <w:pStyle w:val="a0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333333"/>
                <w:sz w:val="24"/>
                <w:shd w:val="clear" w:color="auto" w:fill="FFFFFF"/>
              </w:rPr>
              <w:t>100%</w:t>
            </w:r>
          </w:p>
        </w:tc>
      </w:tr>
    </w:tbl>
    <w:p w:rsidR="009E254F" w:rsidRDefault="009E254F">
      <w:pPr>
        <w:rPr>
          <w:rFonts w:hint="eastAsia"/>
        </w:rPr>
      </w:pPr>
    </w:p>
    <w:sectPr w:rsidR="009E254F" w:rsidSect="000F2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3D2" w:rsidRDefault="00BC33D2" w:rsidP="000F254A">
      <w:r>
        <w:separator/>
      </w:r>
    </w:p>
  </w:endnote>
  <w:endnote w:type="continuationSeparator" w:id="0">
    <w:p w:rsidR="00BC33D2" w:rsidRDefault="00BC33D2" w:rsidP="000F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4A" w:rsidRDefault="000F254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4A" w:rsidRDefault="000F254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4A" w:rsidRDefault="000F25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3D2" w:rsidRDefault="00BC33D2" w:rsidP="000F254A">
      <w:r>
        <w:separator/>
      </w:r>
    </w:p>
  </w:footnote>
  <w:footnote w:type="continuationSeparator" w:id="0">
    <w:p w:rsidR="00BC33D2" w:rsidRDefault="00BC33D2" w:rsidP="000F2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4A" w:rsidRDefault="000F254A" w:rsidP="000F254A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4A" w:rsidRDefault="000F254A" w:rsidP="000F254A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4A" w:rsidRDefault="000F25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4A"/>
    <w:rsid w:val="000F254A"/>
    <w:rsid w:val="004A53A2"/>
    <w:rsid w:val="009E254F"/>
    <w:rsid w:val="00BC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29B501-FF4D-47A2-80FF-A9DF71C7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F254A"/>
    <w:pPr>
      <w:widowControl w:val="0"/>
      <w:jc w:val="both"/>
    </w:pPr>
    <w:rPr>
      <w:rFonts w:eastAsia="仿宋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rsid w:val="000F254A"/>
    <w:pPr>
      <w:ind w:firstLineChars="200" w:firstLine="420"/>
    </w:pPr>
  </w:style>
  <w:style w:type="table" w:styleId="a4">
    <w:name w:val="Table Grid"/>
    <w:basedOn w:val="a2"/>
    <w:qFormat/>
    <w:rsid w:val="000F254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0F2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rsid w:val="000F254A"/>
    <w:rPr>
      <w:rFonts w:eastAsia="仿宋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F2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0F254A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2E652-A27A-4D10-8CD8-FB1E67A9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</Words>
  <Characters>591</Characters>
  <Application>Microsoft Office Word</Application>
  <DocSecurity>0</DocSecurity>
  <Lines>4</Lines>
  <Paragraphs>1</Paragraphs>
  <ScaleCrop>false</ScaleCrop>
  <Company>MS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2022-02-18T02:58:00Z</dcterms:created>
  <dcterms:modified xsi:type="dcterms:W3CDTF">2022-02-18T03:13:00Z</dcterms:modified>
</cp:coreProperties>
</file>