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0D" w:rsidRDefault="00627C0D" w:rsidP="00627C0D">
      <w:pPr>
        <w:pStyle w:val="a4"/>
        <w:spacing w:line="560" w:lineRule="exact"/>
        <w:rPr>
          <w:rFonts w:ascii="Times New Roman" w:eastAsia="黑体" w:hAnsi="Times New Roman"/>
          <w:szCs w:val="32"/>
        </w:rPr>
      </w:pPr>
      <w:r>
        <w:rPr>
          <w:rFonts w:ascii="Times New Roman" w:eastAsia="黑体" w:hAnsi="Times New Roman"/>
          <w:szCs w:val="32"/>
        </w:rPr>
        <w:t>附件</w:t>
      </w:r>
      <w:r>
        <w:rPr>
          <w:rFonts w:ascii="Times New Roman" w:eastAsia="黑体" w:hAnsi="Times New Roman" w:hint="eastAsia"/>
          <w:szCs w:val="32"/>
        </w:rPr>
        <w:t>2</w:t>
      </w:r>
    </w:p>
    <w:p w:rsidR="00627C0D" w:rsidRDefault="00627C0D" w:rsidP="00627C0D">
      <w:pPr>
        <w:pStyle w:val="a4"/>
        <w:spacing w:line="400" w:lineRule="exact"/>
        <w:jc w:val="center"/>
        <w:rPr>
          <w:rFonts w:ascii="华文中宋" w:eastAsia="华文中宋" w:hAnsi="华文中宋" w:hint="eastAsia"/>
          <w:b/>
          <w:bCs/>
          <w:sz w:val="36"/>
        </w:rPr>
      </w:pPr>
    </w:p>
    <w:p w:rsidR="00627C0D" w:rsidRDefault="00627C0D" w:rsidP="00627C0D">
      <w:pPr>
        <w:pStyle w:val="a4"/>
        <w:spacing w:line="400" w:lineRule="exact"/>
        <w:jc w:val="center"/>
        <w:rPr>
          <w:rFonts w:ascii="方正小标宋简体" w:eastAsia="方正小标宋简体" w:hAnsi="方正小标宋简体" w:cs="方正小标宋简体" w:hint="eastAsia"/>
          <w:color w:val="000000"/>
          <w:sz w:val="36"/>
          <w:szCs w:val="36"/>
        </w:rPr>
      </w:pPr>
      <w:bookmarkStart w:id="0" w:name="_GoBack"/>
      <w:r>
        <w:rPr>
          <w:rFonts w:ascii="方正小标宋简体" w:eastAsia="方正小标宋简体" w:hAnsi="方正小标宋简体" w:cs="方正小标宋简体" w:hint="eastAsia"/>
          <w:sz w:val="36"/>
          <w:szCs w:val="36"/>
        </w:rPr>
        <w:t>煤矿企业安全生产主体责任落实暨安全生产许可集中执法追责问责情况统计表</w:t>
      </w:r>
    </w:p>
    <w:bookmarkEnd w:id="0"/>
    <w:p w:rsidR="00627C0D" w:rsidRDefault="00627C0D" w:rsidP="00627C0D">
      <w:pPr>
        <w:pStyle w:val="a5"/>
        <w:widowControl w:val="0"/>
        <w:spacing w:before="0" w:beforeAutospacing="0" w:after="0" w:afterAutospacing="0" w:line="400" w:lineRule="exact"/>
        <w:jc w:val="right"/>
        <w:rPr>
          <w:rFonts w:ascii="Times New Roman" w:eastAsia="楷体_GB2312" w:hAnsi="Times New Roman" w:cs="Times New Roman"/>
          <w:color w:val="000000"/>
        </w:rPr>
      </w:pPr>
    </w:p>
    <w:p w:rsidR="00627C0D" w:rsidRDefault="00627C0D" w:rsidP="00627C0D">
      <w:pPr>
        <w:pStyle w:val="a5"/>
        <w:widowControl w:val="0"/>
        <w:spacing w:before="0" w:beforeAutospacing="0" w:after="0" w:afterAutospacing="0" w:line="400" w:lineRule="exact"/>
        <w:jc w:val="right"/>
        <w:rPr>
          <w:rFonts w:hint="eastAsia"/>
          <w:color w:val="000000"/>
        </w:rPr>
      </w:pPr>
      <w:r>
        <w:rPr>
          <w:rFonts w:hint="eastAsia"/>
          <w:color w:val="000000"/>
        </w:rPr>
        <w:t>填表单位（盖章）：                                                                    统计截止日期：    年  月  日</w:t>
      </w:r>
    </w:p>
    <w:tbl>
      <w:tblPr>
        <w:tblpPr w:leftFromText="180" w:rightFromText="180" w:vertAnchor="text" w:horzAnchor="page" w:tblpX="1462"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290"/>
        <w:gridCol w:w="1245"/>
        <w:gridCol w:w="1305"/>
        <w:gridCol w:w="1081"/>
        <w:gridCol w:w="1188"/>
        <w:gridCol w:w="1134"/>
        <w:gridCol w:w="1134"/>
        <w:gridCol w:w="1134"/>
        <w:gridCol w:w="1134"/>
        <w:gridCol w:w="1212"/>
        <w:gridCol w:w="1377"/>
      </w:tblGrid>
      <w:tr w:rsidR="00627C0D" w:rsidTr="00E724E5">
        <w:trPr>
          <w:trHeight w:val="1119"/>
        </w:trPr>
        <w:tc>
          <w:tcPr>
            <w:tcW w:w="4785" w:type="dxa"/>
            <w:gridSpan w:val="4"/>
            <w:tcBorders>
              <w:top w:val="single" w:sz="12" w:space="0" w:color="auto"/>
              <w:left w:val="nil"/>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约谈</w:t>
            </w:r>
          </w:p>
        </w:tc>
        <w:tc>
          <w:tcPr>
            <w:tcW w:w="5671" w:type="dxa"/>
            <w:gridSpan w:val="5"/>
            <w:tcBorders>
              <w:top w:val="single" w:sz="12" w:space="0" w:color="auto"/>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通过执法推动煤矿企业开展责任追究</w:t>
            </w:r>
          </w:p>
        </w:tc>
        <w:tc>
          <w:tcPr>
            <w:tcW w:w="1134" w:type="dxa"/>
            <w:vMerge w:val="restart"/>
            <w:tcBorders>
              <w:top w:val="single" w:sz="12" w:space="0" w:color="auto"/>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纳入联合惩戒对象的煤矿企业（家）</w:t>
            </w:r>
          </w:p>
        </w:tc>
        <w:tc>
          <w:tcPr>
            <w:tcW w:w="1212" w:type="dxa"/>
            <w:vMerge w:val="restart"/>
            <w:tcBorders>
              <w:top w:val="single" w:sz="12" w:space="0" w:color="auto"/>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纳入安全生产不良记录“黑名单”管理煤矿企业（家）</w:t>
            </w:r>
          </w:p>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p>
        </w:tc>
        <w:tc>
          <w:tcPr>
            <w:tcW w:w="1377" w:type="dxa"/>
            <w:vMerge w:val="restart"/>
            <w:tcBorders>
              <w:top w:val="single" w:sz="12" w:space="0" w:color="auto"/>
              <w:right w:val="nil"/>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曝光查处的重大隐患或违法违规行为（起）</w:t>
            </w:r>
          </w:p>
        </w:tc>
      </w:tr>
      <w:tr w:rsidR="00627C0D" w:rsidTr="00E724E5">
        <w:trPr>
          <w:trHeight w:val="1946"/>
        </w:trPr>
        <w:tc>
          <w:tcPr>
            <w:tcW w:w="945" w:type="dxa"/>
            <w:tcBorders>
              <w:left w:val="nil"/>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对煤矿企业（次）</w:t>
            </w:r>
          </w:p>
        </w:tc>
        <w:tc>
          <w:tcPr>
            <w:tcW w:w="1290" w:type="dxa"/>
            <w:tcBorders>
              <w:left w:val="nil"/>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对煤矿企业管理人员（人次）</w:t>
            </w:r>
          </w:p>
        </w:tc>
        <w:tc>
          <w:tcPr>
            <w:tcW w:w="1245" w:type="dxa"/>
            <w:tcBorders>
              <w:left w:val="single" w:sz="4" w:space="0" w:color="auto"/>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对地方政府及有关部门（次）</w:t>
            </w:r>
          </w:p>
        </w:tc>
        <w:tc>
          <w:tcPr>
            <w:tcW w:w="1305" w:type="dxa"/>
            <w:tcBorders>
              <w:left w:val="single" w:sz="4" w:space="0" w:color="auto"/>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约谈地方政府及有关部门人员（人次）</w:t>
            </w:r>
          </w:p>
        </w:tc>
        <w:tc>
          <w:tcPr>
            <w:tcW w:w="1081" w:type="dxa"/>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党政纪处理</w:t>
            </w:r>
          </w:p>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（人次）</w:t>
            </w:r>
          </w:p>
        </w:tc>
        <w:tc>
          <w:tcPr>
            <w:tcW w:w="1188" w:type="dxa"/>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调整“五职矿长”（人次）</w:t>
            </w:r>
          </w:p>
        </w:tc>
        <w:tc>
          <w:tcPr>
            <w:tcW w:w="1134" w:type="dxa"/>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解聘</w:t>
            </w:r>
          </w:p>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（人次）</w:t>
            </w:r>
          </w:p>
        </w:tc>
        <w:tc>
          <w:tcPr>
            <w:tcW w:w="1134" w:type="dxa"/>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罚款</w:t>
            </w:r>
          </w:p>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（人次）</w:t>
            </w:r>
          </w:p>
        </w:tc>
        <w:tc>
          <w:tcPr>
            <w:tcW w:w="1134" w:type="dxa"/>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罚款</w:t>
            </w:r>
          </w:p>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r>
              <w:rPr>
                <w:rFonts w:ascii="黑体" w:eastAsia="黑体" w:hAnsi="Times New Roman" w:cs="Times New Roman" w:hint="eastAsia"/>
              </w:rPr>
              <w:t>（万元）</w:t>
            </w:r>
          </w:p>
        </w:tc>
        <w:tc>
          <w:tcPr>
            <w:tcW w:w="1134" w:type="dxa"/>
            <w:vMerge/>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p>
        </w:tc>
        <w:tc>
          <w:tcPr>
            <w:tcW w:w="1212" w:type="dxa"/>
            <w:vMerge/>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p>
        </w:tc>
        <w:tc>
          <w:tcPr>
            <w:tcW w:w="1377" w:type="dxa"/>
            <w:vMerge/>
            <w:tcBorders>
              <w:right w:val="nil"/>
            </w:tcBorders>
            <w:vAlign w:val="center"/>
          </w:tcPr>
          <w:p w:rsidR="00627C0D" w:rsidRDefault="00627C0D" w:rsidP="00E724E5">
            <w:pPr>
              <w:pStyle w:val="a5"/>
              <w:widowControl w:val="0"/>
              <w:spacing w:before="0" w:beforeAutospacing="0" w:after="0" w:afterAutospacing="0" w:line="400" w:lineRule="exact"/>
              <w:jc w:val="center"/>
              <w:rPr>
                <w:rFonts w:ascii="黑体" w:eastAsia="黑体" w:hAnsi="Times New Roman" w:cs="Times New Roman"/>
              </w:rPr>
            </w:pPr>
          </w:p>
        </w:tc>
      </w:tr>
      <w:tr w:rsidR="00627C0D" w:rsidTr="00E724E5">
        <w:trPr>
          <w:trHeight w:val="1056"/>
        </w:trPr>
        <w:tc>
          <w:tcPr>
            <w:tcW w:w="945" w:type="dxa"/>
            <w:tcBorders>
              <w:left w:val="nil"/>
              <w:bottom w:val="single" w:sz="12" w:space="0" w:color="auto"/>
            </w:tcBorders>
            <w:vAlign w:val="center"/>
          </w:tcPr>
          <w:p w:rsidR="00627C0D" w:rsidRDefault="00627C0D" w:rsidP="00E724E5">
            <w:pPr>
              <w:widowControl/>
              <w:spacing w:line="400" w:lineRule="exact"/>
              <w:jc w:val="center"/>
              <w:textAlignment w:val="center"/>
              <w:rPr>
                <w:rFonts w:eastAsia="仿宋_GB2312"/>
              </w:rPr>
            </w:pPr>
          </w:p>
        </w:tc>
        <w:tc>
          <w:tcPr>
            <w:tcW w:w="1290" w:type="dxa"/>
            <w:tcBorders>
              <w:left w:val="nil"/>
              <w:bottom w:val="single" w:sz="12" w:space="0" w:color="auto"/>
            </w:tcBorders>
            <w:vAlign w:val="center"/>
          </w:tcPr>
          <w:p w:rsidR="00627C0D" w:rsidRDefault="00627C0D" w:rsidP="00E724E5">
            <w:pPr>
              <w:widowControl/>
              <w:spacing w:line="400" w:lineRule="exact"/>
              <w:jc w:val="center"/>
              <w:textAlignment w:val="center"/>
              <w:rPr>
                <w:rFonts w:eastAsia="仿宋_GB2312"/>
              </w:rPr>
            </w:pPr>
          </w:p>
        </w:tc>
        <w:tc>
          <w:tcPr>
            <w:tcW w:w="1245" w:type="dxa"/>
            <w:tcBorders>
              <w:left w:val="single" w:sz="4" w:space="0" w:color="auto"/>
              <w:bottom w:val="single" w:sz="12" w:space="0" w:color="auto"/>
            </w:tcBorders>
            <w:vAlign w:val="center"/>
          </w:tcPr>
          <w:p w:rsidR="00627C0D" w:rsidRDefault="00627C0D" w:rsidP="00E724E5">
            <w:pPr>
              <w:widowControl/>
              <w:spacing w:line="400" w:lineRule="exact"/>
              <w:jc w:val="center"/>
              <w:textAlignment w:val="center"/>
              <w:rPr>
                <w:rFonts w:eastAsia="仿宋_GB2312"/>
              </w:rPr>
            </w:pPr>
          </w:p>
        </w:tc>
        <w:tc>
          <w:tcPr>
            <w:tcW w:w="1305" w:type="dxa"/>
            <w:tcBorders>
              <w:left w:val="single" w:sz="4" w:space="0" w:color="auto"/>
              <w:bottom w:val="single" w:sz="12" w:space="0" w:color="auto"/>
            </w:tcBorders>
            <w:vAlign w:val="center"/>
          </w:tcPr>
          <w:p w:rsidR="00627C0D" w:rsidRDefault="00627C0D" w:rsidP="00E724E5">
            <w:pPr>
              <w:widowControl/>
              <w:spacing w:line="400" w:lineRule="exact"/>
              <w:jc w:val="center"/>
              <w:textAlignment w:val="center"/>
              <w:rPr>
                <w:rFonts w:eastAsia="仿宋_GB2312"/>
              </w:rPr>
            </w:pPr>
          </w:p>
        </w:tc>
        <w:tc>
          <w:tcPr>
            <w:tcW w:w="1081" w:type="dxa"/>
            <w:tcBorders>
              <w:bottom w:val="single" w:sz="12" w:space="0" w:color="auto"/>
            </w:tcBorders>
            <w:vAlign w:val="center"/>
          </w:tcPr>
          <w:p w:rsidR="00627C0D" w:rsidRDefault="00627C0D" w:rsidP="00E724E5">
            <w:pPr>
              <w:widowControl/>
              <w:spacing w:line="400" w:lineRule="exact"/>
              <w:jc w:val="left"/>
              <w:textAlignment w:val="center"/>
              <w:rPr>
                <w:rFonts w:eastAsia="仿宋_GB2312"/>
              </w:rPr>
            </w:pPr>
          </w:p>
        </w:tc>
        <w:tc>
          <w:tcPr>
            <w:tcW w:w="1188" w:type="dxa"/>
            <w:tcBorders>
              <w:bottom w:val="single" w:sz="12" w:space="0" w:color="auto"/>
            </w:tcBorders>
            <w:vAlign w:val="center"/>
          </w:tcPr>
          <w:p w:rsidR="00627C0D" w:rsidRDefault="00627C0D" w:rsidP="00E724E5">
            <w:pPr>
              <w:widowControl/>
              <w:spacing w:line="400" w:lineRule="exact"/>
              <w:jc w:val="left"/>
              <w:textAlignment w:val="center"/>
              <w:rPr>
                <w:rFonts w:eastAsia="仿宋_GB2312"/>
              </w:rPr>
            </w:pPr>
          </w:p>
        </w:tc>
        <w:tc>
          <w:tcPr>
            <w:tcW w:w="1134" w:type="dxa"/>
            <w:tcBorders>
              <w:bottom w:val="single" w:sz="12" w:space="0" w:color="auto"/>
            </w:tcBorders>
            <w:vAlign w:val="center"/>
          </w:tcPr>
          <w:p w:rsidR="00627C0D" w:rsidRDefault="00627C0D" w:rsidP="00E724E5">
            <w:pPr>
              <w:widowControl/>
              <w:spacing w:line="400" w:lineRule="exact"/>
              <w:jc w:val="left"/>
              <w:textAlignment w:val="center"/>
              <w:rPr>
                <w:rFonts w:eastAsia="仿宋_GB2312"/>
              </w:rPr>
            </w:pPr>
          </w:p>
        </w:tc>
        <w:tc>
          <w:tcPr>
            <w:tcW w:w="1134" w:type="dxa"/>
            <w:tcBorders>
              <w:bottom w:val="single" w:sz="12" w:space="0" w:color="auto"/>
            </w:tcBorders>
            <w:vAlign w:val="center"/>
          </w:tcPr>
          <w:p w:rsidR="00627C0D" w:rsidRDefault="00627C0D" w:rsidP="00E724E5">
            <w:pPr>
              <w:widowControl/>
              <w:spacing w:line="400" w:lineRule="exact"/>
              <w:ind w:firstLineChars="100" w:firstLine="312"/>
              <w:jc w:val="left"/>
              <w:textAlignment w:val="center"/>
              <w:rPr>
                <w:rFonts w:eastAsia="仿宋_GB2312"/>
              </w:rPr>
            </w:pPr>
          </w:p>
        </w:tc>
        <w:tc>
          <w:tcPr>
            <w:tcW w:w="1134" w:type="dxa"/>
            <w:tcBorders>
              <w:bottom w:val="single" w:sz="12" w:space="0" w:color="auto"/>
            </w:tcBorders>
            <w:vAlign w:val="center"/>
          </w:tcPr>
          <w:p w:rsidR="00627C0D" w:rsidRDefault="00627C0D" w:rsidP="00E724E5">
            <w:pPr>
              <w:widowControl/>
              <w:spacing w:line="400" w:lineRule="exact"/>
              <w:jc w:val="left"/>
              <w:textAlignment w:val="center"/>
              <w:rPr>
                <w:rFonts w:eastAsia="仿宋_GB2312"/>
              </w:rPr>
            </w:pPr>
          </w:p>
        </w:tc>
        <w:tc>
          <w:tcPr>
            <w:tcW w:w="1134" w:type="dxa"/>
            <w:tcBorders>
              <w:bottom w:val="single" w:sz="12" w:space="0" w:color="auto"/>
            </w:tcBorders>
            <w:vAlign w:val="center"/>
          </w:tcPr>
          <w:p w:rsidR="00627C0D" w:rsidRDefault="00627C0D" w:rsidP="00E724E5">
            <w:pPr>
              <w:widowControl/>
              <w:spacing w:line="400" w:lineRule="exact"/>
              <w:jc w:val="center"/>
              <w:textAlignment w:val="center"/>
              <w:rPr>
                <w:rFonts w:eastAsia="仿宋_GB2312"/>
              </w:rPr>
            </w:pPr>
          </w:p>
        </w:tc>
        <w:tc>
          <w:tcPr>
            <w:tcW w:w="1212" w:type="dxa"/>
            <w:tcBorders>
              <w:bottom w:val="single" w:sz="12" w:space="0" w:color="auto"/>
            </w:tcBorders>
            <w:vAlign w:val="center"/>
          </w:tcPr>
          <w:p w:rsidR="00627C0D" w:rsidRDefault="00627C0D" w:rsidP="00E724E5">
            <w:pPr>
              <w:widowControl/>
              <w:spacing w:line="400" w:lineRule="exact"/>
              <w:jc w:val="center"/>
              <w:textAlignment w:val="center"/>
              <w:rPr>
                <w:rFonts w:eastAsia="仿宋_GB2312"/>
              </w:rPr>
            </w:pPr>
          </w:p>
        </w:tc>
        <w:tc>
          <w:tcPr>
            <w:tcW w:w="1377" w:type="dxa"/>
            <w:tcBorders>
              <w:bottom w:val="single" w:sz="12" w:space="0" w:color="auto"/>
              <w:right w:val="nil"/>
            </w:tcBorders>
            <w:vAlign w:val="center"/>
          </w:tcPr>
          <w:p w:rsidR="00627C0D" w:rsidRDefault="00627C0D" w:rsidP="00E724E5">
            <w:pPr>
              <w:widowControl/>
              <w:spacing w:line="400" w:lineRule="exact"/>
              <w:jc w:val="center"/>
              <w:textAlignment w:val="center"/>
              <w:rPr>
                <w:rFonts w:eastAsia="仿宋_GB2312"/>
              </w:rPr>
            </w:pPr>
          </w:p>
        </w:tc>
      </w:tr>
    </w:tbl>
    <w:p w:rsidR="00627C0D" w:rsidRDefault="00627C0D" w:rsidP="00627C0D">
      <w:pPr>
        <w:pStyle w:val="a5"/>
        <w:widowControl w:val="0"/>
        <w:spacing w:before="0" w:beforeAutospacing="0" w:after="0" w:afterAutospacing="0" w:line="400" w:lineRule="exact"/>
        <w:rPr>
          <w:rFonts w:hint="eastAsia"/>
        </w:rPr>
      </w:pPr>
      <w:r>
        <w:rPr>
          <w:rFonts w:hint="eastAsia"/>
        </w:rPr>
        <w:t>分管负责人：　　　　　      　　填表人：　　          　　　填表人电话：　　　　　             填表日期：</w:t>
      </w:r>
    </w:p>
    <w:p w:rsidR="00627C0D" w:rsidRDefault="00627C0D" w:rsidP="00627C0D">
      <w:pPr>
        <w:pStyle w:val="a4"/>
        <w:spacing w:line="400" w:lineRule="exact"/>
        <w:rPr>
          <w:rFonts w:eastAsia="宋体" w:hAnsi="宋体" w:cs="宋体" w:hint="eastAsia"/>
        </w:rPr>
      </w:pPr>
      <w:r>
        <w:rPr>
          <w:rFonts w:eastAsia="宋体" w:hAnsi="宋体" w:cs="宋体" w:hint="eastAsia"/>
          <w:sz w:val="24"/>
          <w:szCs w:val="24"/>
        </w:rPr>
        <w:t>备注：本表由市级煤矿安全监管部门填报，表中数据为市县煤矿安全监管部门主体责任监管情况累计汇总数据。</w:t>
      </w:r>
    </w:p>
    <w:p w:rsidR="00627C0D" w:rsidRDefault="00627C0D" w:rsidP="00627C0D">
      <w:pPr>
        <w:pStyle w:val="2"/>
        <w:spacing w:after="0" w:line="400" w:lineRule="exact"/>
        <w:ind w:leftChars="0" w:firstLineChars="134" w:firstLine="418"/>
        <w:jc w:val="left"/>
        <w:rPr>
          <w:rFonts w:ascii="仿宋" w:hAnsi="仿宋" w:cs="仿宋_GB2312" w:hint="eastAsia"/>
          <w:szCs w:val="32"/>
        </w:rPr>
        <w:sectPr w:rsidR="00627C0D">
          <w:pgSz w:w="16838" w:h="11906" w:orient="landscape"/>
          <w:pgMar w:top="1587" w:right="1701" w:bottom="1587" w:left="1701" w:header="851" w:footer="992" w:gutter="0"/>
          <w:pgNumType w:fmt="numberInDash"/>
          <w:cols w:space="720"/>
          <w:docGrid w:type="linesAndChars" w:linePitch="623" w:charSpace="-1668"/>
        </w:sectPr>
      </w:pPr>
    </w:p>
    <w:p w:rsidR="009E417D" w:rsidRPr="00627C0D" w:rsidRDefault="009E417D"/>
    <w:sectPr w:rsidR="009E417D" w:rsidRPr="00627C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0D"/>
    <w:rsid w:val="00003D33"/>
    <w:rsid w:val="001D2BA5"/>
    <w:rsid w:val="00276B72"/>
    <w:rsid w:val="00381B1B"/>
    <w:rsid w:val="004754F5"/>
    <w:rsid w:val="005252CC"/>
    <w:rsid w:val="00626E9A"/>
    <w:rsid w:val="00627C0D"/>
    <w:rsid w:val="009E417D"/>
    <w:rsid w:val="00A41D33"/>
    <w:rsid w:val="00A642EB"/>
    <w:rsid w:val="00A97EA1"/>
    <w:rsid w:val="00AC116C"/>
    <w:rsid w:val="00D4638C"/>
    <w:rsid w:val="00DF6683"/>
    <w:rsid w:val="00E93F6B"/>
    <w:rsid w:val="00EB4F2D"/>
    <w:rsid w:val="00EF4082"/>
    <w:rsid w:val="00FB4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1DC8-5B0E-4A99-9019-1EB0D04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27C0D"/>
    <w:pPr>
      <w:widowControl w:val="0"/>
      <w:jc w:val="both"/>
    </w:pPr>
    <w:rPr>
      <w:rFonts w:ascii="Calibri" w:eastAsia="仿宋" w:hAnsi="Calibri"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Char"/>
    <w:qFormat/>
    <w:rsid w:val="00627C0D"/>
    <w:rPr>
      <w:rFonts w:ascii="宋体" w:hAnsi="Courier New" w:cs="Courier New"/>
      <w:szCs w:val="21"/>
    </w:rPr>
  </w:style>
  <w:style w:type="character" w:customStyle="1" w:styleId="Char">
    <w:name w:val="纯文本 Char"/>
    <w:basedOn w:val="a1"/>
    <w:link w:val="a4"/>
    <w:rsid w:val="00627C0D"/>
    <w:rPr>
      <w:rFonts w:ascii="宋体" w:eastAsia="仿宋" w:hAnsi="Courier New" w:cs="Courier New"/>
      <w:sz w:val="32"/>
      <w:szCs w:val="21"/>
    </w:rPr>
  </w:style>
  <w:style w:type="paragraph" w:styleId="a5">
    <w:name w:val="Normal (Web)"/>
    <w:basedOn w:val="a"/>
    <w:qFormat/>
    <w:rsid w:val="00627C0D"/>
    <w:pPr>
      <w:widowControl/>
      <w:spacing w:before="100" w:beforeAutospacing="1" w:after="100" w:afterAutospacing="1"/>
      <w:jc w:val="left"/>
    </w:pPr>
    <w:rPr>
      <w:rFonts w:ascii="宋体" w:eastAsia="宋体" w:hAnsi="宋体" w:cs="宋体"/>
      <w:kern w:val="0"/>
      <w:sz w:val="24"/>
      <w:szCs w:val="24"/>
    </w:rPr>
  </w:style>
  <w:style w:type="paragraph" w:styleId="a6">
    <w:name w:val="Body Text Indent"/>
    <w:basedOn w:val="a"/>
    <w:link w:val="Char0"/>
    <w:uiPriority w:val="99"/>
    <w:semiHidden/>
    <w:unhideWhenUsed/>
    <w:rsid w:val="00627C0D"/>
    <w:pPr>
      <w:spacing w:after="120"/>
      <w:ind w:leftChars="200" w:left="420"/>
    </w:pPr>
  </w:style>
  <w:style w:type="character" w:customStyle="1" w:styleId="Char0">
    <w:name w:val="正文文本缩进 Char"/>
    <w:basedOn w:val="a1"/>
    <w:link w:val="a6"/>
    <w:uiPriority w:val="99"/>
    <w:semiHidden/>
    <w:rsid w:val="00627C0D"/>
    <w:rPr>
      <w:rFonts w:ascii="Calibri" w:eastAsia="仿宋" w:hAnsi="Calibri" w:cs="Times New Roman"/>
      <w:sz w:val="32"/>
    </w:rPr>
  </w:style>
  <w:style w:type="paragraph" w:styleId="2">
    <w:name w:val="Body Text First Indent 2"/>
    <w:basedOn w:val="a6"/>
    <w:link w:val="2Char"/>
    <w:uiPriority w:val="99"/>
    <w:qFormat/>
    <w:rsid w:val="00627C0D"/>
    <w:pPr>
      <w:ind w:firstLineChars="200" w:firstLine="420"/>
    </w:pPr>
  </w:style>
  <w:style w:type="character" w:customStyle="1" w:styleId="2Char">
    <w:name w:val="正文首行缩进 2 Char"/>
    <w:basedOn w:val="Char0"/>
    <w:link w:val="2"/>
    <w:uiPriority w:val="99"/>
    <w:rsid w:val="00627C0D"/>
    <w:rPr>
      <w:rFonts w:ascii="Calibri" w:eastAsia="仿宋" w:hAnsi="Calibri" w:cs="Times New Roman"/>
      <w:sz w:val="32"/>
    </w:rPr>
  </w:style>
  <w:style w:type="paragraph" w:styleId="a0">
    <w:name w:val="Normal Indent"/>
    <w:basedOn w:val="a"/>
    <w:uiPriority w:val="99"/>
    <w:semiHidden/>
    <w:unhideWhenUsed/>
    <w:rsid w:val="00627C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393</Characters>
  <Application>Microsoft Office Word</Application>
  <DocSecurity>0</DocSecurity>
  <Lines>3</Lines>
  <Paragraphs>1</Paragraphs>
  <ScaleCrop>false</ScaleCrop>
  <Company>MS</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2022-03-22T08:19:00Z</dcterms:created>
  <dcterms:modified xsi:type="dcterms:W3CDTF">2022-03-22T08:20:00Z</dcterms:modified>
</cp:coreProperties>
</file>