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附件3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小标宋简体" w:hAnsi="方正小标宋简体" w:eastAsia="方正小标宋简体" w:cs="方正小标宋简体"/>
          <w:sz w:val="44"/>
          <w:szCs w:val="44"/>
          <w:lang w:val="en-US" w:eastAsia="zh-CN" w:bidi="ar-SA"/>
        </w:rPr>
      </w:pPr>
      <w:r>
        <w:rPr>
          <w:rFonts w:hint="eastAsia" w:ascii="方正小标宋简体" w:hAnsi="方正小标宋简体" w:eastAsia="方正小标宋简体" w:cs="方正小标宋简体"/>
          <w:sz w:val="44"/>
          <w:szCs w:val="44"/>
          <w:lang w:val="en-US" w:eastAsia="zh-CN" w:bidi="ar-SA"/>
        </w:rPr>
        <w:t>府谷县锦盛煤矿安全生产违法违规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小标宋简体" w:hAnsi="方正小标宋简体" w:eastAsia="方正小标宋简体" w:cs="方正小标宋简体"/>
          <w:sz w:val="44"/>
          <w:szCs w:val="44"/>
          <w:lang w:val="en-US" w:eastAsia="zh-CN" w:bidi="ar-SA"/>
        </w:rPr>
      </w:pPr>
      <w:r>
        <w:rPr>
          <w:rFonts w:hint="eastAsia" w:ascii="方正小标宋简体" w:hAnsi="方正小标宋简体" w:eastAsia="方正小标宋简体" w:cs="方正小标宋简体"/>
          <w:sz w:val="44"/>
          <w:szCs w:val="44"/>
          <w:lang w:val="en-US" w:eastAsia="zh-CN" w:bidi="ar-SA"/>
        </w:rPr>
        <w:t>行为行政处罚信息表</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45"/>
        <w:gridCol w:w="2765"/>
        <w:gridCol w:w="63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jc w:val="center"/>
        </w:trPr>
        <w:tc>
          <w:tcPr>
            <w:tcW w:w="545" w:type="dxa"/>
            <w:tcBorders>
              <w:top w:val="single" w:color="333333" w:sz="6" w:space="0"/>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黑体" w:hAnsi="黑体" w:eastAsia="黑体" w:cs="黑体"/>
                <w:b w:val="0"/>
                <w:bCs/>
                <w:color w:val="000000"/>
                <w:sz w:val="24"/>
                <w:szCs w:val="24"/>
              </w:rPr>
            </w:pPr>
            <w:r>
              <w:rPr>
                <w:rStyle w:val="6"/>
                <w:rFonts w:hint="eastAsia" w:ascii="黑体" w:hAnsi="黑体" w:eastAsia="黑体" w:cs="黑体"/>
                <w:b w:val="0"/>
                <w:bCs/>
                <w:i w:val="0"/>
                <w:color w:val="000000"/>
                <w:sz w:val="24"/>
                <w:szCs w:val="24"/>
              </w:rPr>
              <w:t>序号</w:t>
            </w:r>
          </w:p>
        </w:tc>
        <w:tc>
          <w:tcPr>
            <w:tcW w:w="2765" w:type="dxa"/>
            <w:tcBorders>
              <w:top w:val="single" w:color="333333" w:sz="6" w:space="0"/>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黑体" w:hAnsi="黑体" w:eastAsia="黑体" w:cs="黑体"/>
                <w:b w:val="0"/>
                <w:bCs/>
                <w:color w:val="000000"/>
                <w:sz w:val="24"/>
                <w:szCs w:val="24"/>
              </w:rPr>
            </w:pPr>
            <w:r>
              <w:rPr>
                <w:rStyle w:val="6"/>
                <w:rFonts w:hint="eastAsia" w:ascii="黑体" w:hAnsi="黑体" w:eastAsia="黑体" w:cs="黑体"/>
                <w:b w:val="0"/>
                <w:bCs/>
                <w:i w:val="0"/>
                <w:color w:val="000000"/>
                <w:sz w:val="24"/>
                <w:szCs w:val="24"/>
              </w:rPr>
              <w:t>要素</w:t>
            </w:r>
          </w:p>
        </w:tc>
        <w:tc>
          <w:tcPr>
            <w:tcW w:w="6322" w:type="dxa"/>
            <w:tcBorders>
              <w:top w:val="single" w:color="333333" w:sz="6" w:space="0"/>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黑体" w:hAnsi="黑体" w:eastAsia="黑体" w:cs="黑体"/>
                <w:b w:val="0"/>
                <w:bCs/>
                <w:color w:val="000000"/>
                <w:sz w:val="24"/>
                <w:szCs w:val="24"/>
              </w:rPr>
            </w:pPr>
            <w:r>
              <w:rPr>
                <w:rStyle w:val="6"/>
                <w:rFonts w:hint="eastAsia" w:ascii="黑体" w:hAnsi="黑体" w:eastAsia="黑体" w:cs="黑体"/>
                <w:b w:val="0"/>
                <w:bCs/>
                <w:i w:val="0"/>
                <w:color w:val="000000"/>
                <w:sz w:val="24"/>
                <w:szCs w:val="24"/>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jc w:val="center"/>
        </w:trPr>
        <w:tc>
          <w:tcPr>
            <w:tcW w:w="545" w:type="dxa"/>
            <w:tcBorders>
              <w:top w:val="nil"/>
              <w:left w:val="single" w:color="333333" w:sz="6" w:space="0"/>
              <w:bottom w:val="single" w:color="auto"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rPr>
            </w:pPr>
            <w:r>
              <w:rPr>
                <w:rFonts w:hint="eastAsia" w:ascii="仿宋" w:hAnsi="仿宋" w:eastAsia="仿宋" w:cs="仿宋"/>
                <w:b w:val="0"/>
                <w:i w:val="0"/>
                <w:color w:val="000000"/>
                <w:sz w:val="24"/>
                <w:szCs w:val="24"/>
              </w:rPr>
              <w:t>1</w:t>
            </w:r>
          </w:p>
        </w:tc>
        <w:tc>
          <w:tcPr>
            <w:tcW w:w="2765" w:type="dxa"/>
            <w:tcBorders>
              <w:top w:val="nil"/>
              <w:left w:val="nil"/>
              <w:bottom w:val="single" w:color="auto"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案由</w:t>
            </w:r>
          </w:p>
        </w:tc>
        <w:tc>
          <w:tcPr>
            <w:tcW w:w="6322" w:type="dxa"/>
            <w:tcBorders>
              <w:top w:val="nil"/>
              <w:left w:val="nil"/>
              <w:bottom w:val="single" w:color="auto" w:sz="6" w:space="0"/>
              <w:right w:val="single" w:color="auto" w:sz="6" w:space="0"/>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pacing w:val="-6"/>
                <w:sz w:val="24"/>
                <w:szCs w:val="24"/>
                <w:lang w:val="en-US" w:eastAsia="zh-CN"/>
              </w:rPr>
            </w:pPr>
            <w:r>
              <w:rPr>
                <w:rFonts w:hint="eastAsia" w:ascii="仿宋" w:hAnsi="仿宋" w:eastAsia="仿宋" w:cs="仿宋"/>
                <w:color w:val="auto"/>
                <w:spacing w:val="-6"/>
                <w:sz w:val="24"/>
                <w:szCs w:val="24"/>
                <w:lang w:val="en-US" w:eastAsia="zh-CN"/>
              </w:rPr>
              <w:t>府谷县锦盛煤矿</w:t>
            </w:r>
            <w:r>
              <w:rPr>
                <w:rFonts w:hint="eastAsia" w:ascii="仿宋" w:hAnsi="仿宋" w:eastAsia="仿宋" w:cs="仿宋"/>
                <w:spacing w:val="-6"/>
                <w:sz w:val="24"/>
                <w:szCs w:val="24"/>
                <w:u w:val="none"/>
              </w:rPr>
              <w:t>安全生产隐患管理类、安全设备使用维护</w:t>
            </w:r>
            <w:r>
              <w:rPr>
                <w:rFonts w:hint="eastAsia" w:ascii="仿宋" w:hAnsi="仿宋" w:eastAsia="仿宋" w:cs="仿宋"/>
                <w:spacing w:val="-6"/>
                <w:sz w:val="24"/>
                <w:szCs w:val="24"/>
                <w:u w:val="none"/>
                <w:lang w:eastAsia="zh-CN"/>
              </w:rPr>
              <w:t>类违法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9"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rPr>
            </w:pPr>
            <w:r>
              <w:rPr>
                <w:rFonts w:hint="eastAsia" w:ascii="仿宋" w:hAnsi="仿宋" w:eastAsia="仿宋" w:cs="仿宋"/>
                <w:b w:val="0"/>
                <w:i w:val="0"/>
                <w:color w:val="000000"/>
                <w:sz w:val="24"/>
                <w:szCs w:val="24"/>
              </w:rPr>
              <w:t>2</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案件名称</w:t>
            </w:r>
          </w:p>
        </w:tc>
        <w:tc>
          <w:tcPr>
            <w:tcW w:w="6322"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仿宋" w:hAnsi="仿宋" w:eastAsia="仿宋" w:cs="仿宋"/>
                <w:color w:val="000000"/>
                <w:sz w:val="24"/>
                <w:szCs w:val="24"/>
                <w:lang w:eastAsia="zh-CN"/>
              </w:rPr>
            </w:pPr>
            <w:r>
              <w:rPr>
                <w:rFonts w:hint="eastAsia" w:ascii="仿宋" w:hAnsi="仿宋" w:eastAsia="仿宋" w:cs="仿宋"/>
                <w:color w:val="auto"/>
                <w:sz w:val="24"/>
                <w:szCs w:val="24"/>
                <w:lang w:val="en-US" w:eastAsia="zh-CN"/>
              </w:rPr>
              <w:t>府谷县锦盛煤矿隐患排查治理措施不落实、井下电气设备失爆等违法违规案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lang w:val="en-US" w:eastAsia="zh-CN"/>
              </w:rPr>
              <w:t>3</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lang w:val="en-US" w:eastAsia="zh-CN"/>
              </w:rPr>
              <w:t>做出处罚决定机关名称</w:t>
            </w:r>
          </w:p>
        </w:tc>
        <w:tc>
          <w:tcPr>
            <w:tcW w:w="6322"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陕西省应急管理厅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3"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rPr>
            </w:pPr>
            <w:r>
              <w:rPr>
                <w:rFonts w:hint="eastAsia" w:ascii="仿宋" w:hAnsi="仿宋" w:eastAsia="仿宋" w:cs="仿宋"/>
                <w:b w:val="0"/>
                <w:i w:val="0"/>
                <w:color w:val="000000"/>
                <w:sz w:val="24"/>
                <w:szCs w:val="24"/>
                <w:lang w:val="en-US" w:eastAsia="zh-CN"/>
              </w:rPr>
              <w:t>4</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处罚决定书文号</w:t>
            </w:r>
          </w:p>
        </w:tc>
        <w:tc>
          <w:tcPr>
            <w:tcW w:w="6322"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陕(应急)煤安罚〔2023〕116010号</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auto"/>
                <w:kern w:val="0"/>
                <w:sz w:val="24"/>
                <w:szCs w:val="24"/>
                <w:lang w:val="en-US" w:eastAsia="zh-CN" w:bidi="ar"/>
              </w:rPr>
              <w:t>陕(应急)煤安罚〔2023〕116011号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1"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做出处罚决定日期</w:t>
            </w:r>
          </w:p>
        </w:tc>
        <w:tc>
          <w:tcPr>
            <w:tcW w:w="6322"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2023年</w:t>
            </w:r>
            <w:r>
              <w:rPr>
                <w:rFonts w:hint="eastAsia" w:ascii="仿宋" w:hAnsi="仿宋" w:eastAsia="仿宋" w:cs="仿宋"/>
                <w:color w:val="000000"/>
                <w:sz w:val="24"/>
                <w:szCs w:val="24"/>
                <w:lang w:val="en-US" w:eastAsia="zh-CN"/>
              </w:rPr>
              <w:t>7</w:t>
            </w:r>
            <w:r>
              <w:rPr>
                <w:rFonts w:hint="eastAsia" w:ascii="仿宋" w:hAnsi="仿宋" w:eastAsia="仿宋" w:cs="仿宋"/>
                <w:color w:val="000000"/>
                <w:sz w:val="24"/>
                <w:szCs w:val="24"/>
                <w:lang w:eastAsia="zh-CN"/>
              </w:rPr>
              <w:t>月</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lang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6"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rPr>
              <w:t>被处罚</w:t>
            </w:r>
            <w:r>
              <w:rPr>
                <w:rFonts w:hint="eastAsia" w:ascii="仿宋" w:hAnsi="仿宋" w:eastAsia="仿宋" w:cs="仿宋"/>
                <w:b w:val="0"/>
                <w:i w:val="0"/>
                <w:color w:val="000000"/>
                <w:sz w:val="24"/>
                <w:szCs w:val="24"/>
                <w:lang w:val="en-US" w:eastAsia="zh-CN"/>
              </w:rPr>
              <w:t>行政相对人名称</w:t>
            </w:r>
          </w:p>
        </w:tc>
        <w:tc>
          <w:tcPr>
            <w:tcW w:w="6322"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auto"/>
                <w:sz w:val="24"/>
                <w:szCs w:val="24"/>
                <w:lang w:val="en-US" w:eastAsia="zh-CN"/>
              </w:rPr>
              <w:t>府谷县锦盛煤矿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4"/>
                <w:szCs w:val="24"/>
                <w:u w:val="none"/>
              </w:rPr>
            </w:pPr>
            <w:r>
              <w:rPr>
                <w:rFonts w:hint="eastAsia" w:ascii="仿宋" w:hAnsi="仿宋" w:eastAsia="仿宋" w:cs="仿宋"/>
                <w:b w:val="0"/>
                <w:i w:val="0"/>
                <w:color w:val="000000"/>
                <w:sz w:val="24"/>
                <w:szCs w:val="24"/>
                <w:u w:val="none"/>
              </w:rPr>
              <w:t>被处罚</w:t>
            </w:r>
            <w:r>
              <w:rPr>
                <w:rFonts w:hint="eastAsia" w:ascii="仿宋" w:hAnsi="仿宋" w:eastAsia="仿宋" w:cs="仿宋"/>
                <w:b w:val="0"/>
                <w:i w:val="0"/>
                <w:color w:val="000000"/>
                <w:sz w:val="24"/>
                <w:szCs w:val="24"/>
                <w:u w:val="none"/>
                <w:lang w:val="en-US" w:eastAsia="zh-CN"/>
              </w:rPr>
              <w:t>行政相对人</w:t>
            </w:r>
            <w:r>
              <w:rPr>
                <w:rFonts w:hint="eastAsia" w:ascii="仿宋" w:hAnsi="仿宋" w:eastAsia="仿宋" w:cs="仿宋"/>
                <w:b w:val="0"/>
                <w:i w:val="0"/>
                <w:color w:val="000000"/>
                <w:sz w:val="24"/>
                <w:szCs w:val="24"/>
                <w:u w:val="none"/>
              </w:rPr>
              <w:t>地址</w:t>
            </w:r>
          </w:p>
        </w:tc>
        <w:tc>
          <w:tcPr>
            <w:tcW w:w="6322"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spacing w:line="560" w:lineRule="exact"/>
              <w:jc w:val="left"/>
              <w:rPr>
                <w:rFonts w:hint="eastAsia" w:ascii="仿宋" w:hAnsi="仿宋" w:eastAsia="仿宋" w:cs="仿宋"/>
                <w:color w:val="000000"/>
                <w:sz w:val="24"/>
                <w:szCs w:val="24"/>
                <w:u w:val="none"/>
                <w:lang w:eastAsia="zh-CN"/>
              </w:rPr>
            </w:pPr>
            <w:r>
              <w:rPr>
                <w:rFonts w:hint="eastAsia" w:ascii="仿宋" w:hAnsi="仿宋" w:eastAsia="仿宋" w:cs="仿宋"/>
                <w:sz w:val="24"/>
                <w:szCs w:val="24"/>
                <w:u w:val="none"/>
                <w:lang w:val="en-US" w:eastAsia="zh-CN"/>
              </w:rPr>
              <w:t>陕西省榆林市府谷县新民镇龙王庙行政村张祥沟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rPr>
              <w:t>被处罚</w:t>
            </w:r>
            <w:r>
              <w:rPr>
                <w:rFonts w:hint="eastAsia" w:ascii="仿宋" w:hAnsi="仿宋" w:eastAsia="仿宋" w:cs="仿宋"/>
                <w:b w:val="0"/>
                <w:i w:val="0"/>
                <w:color w:val="000000"/>
                <w:sz w:val="24"/>
                <w:szCs w:val="24"/>
                <w:lang w:val="en-US" w:eastAsia="zh-CN"/>
              </w:rPr>
              <w:t>行政相对人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4"/>
                <w:szCs w:val="24"/>
              </w:rPr>
            </w:pPr>
            <w:r>
              <w:rPr>
                <w:rFonts w:hint="eastAsia" w:ascii="仿宋" w:hAnsi="仿宋" w:eastAsia="仿宋" w:cs="仿宋"/>
                <w:b w:val="0"/>
                <w:i w:val="0"/>
                <w:color w:val="000000"/>
                <w:sz w:val="24"/>
                <w:szCs w:val="24"/>
              </w:rPr>
              <w:t>法定代表人姓名</w:t>
            </w:r>
          </w:p>
        </w:tc>
        <w:tc>
          <w:tcPr>
            <w:tcW w:w="6322"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李旗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1" w:hRule="atLeast"/>
          <w:jc w:val="center"/>
        </w:trPr>
        <w:tc>
          <w:tcPr>
            <w:tcW w:w="545" w:type="dxa"/>
            <w:tcBorders>
              <w:top w:val="nil"/>
              <w:left w:val="single" w:color="333333" w:sz="6" w:space="0"/>
              <w:bottom w:val="single" w:color="auto" w:sz="4"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w:t>
            </w:r>
          </w:p>
        </w:tc>
        <w:tc>
          <w:tcPr>
            <w:tcW w:w="2765" w:type="dxa"/>
            <w:tcBorders>
              <w:top w:val="nil"/>
              <w:left w:val="nil"/>
              <w:bottom w:val="single" w:color="auto" w:sz="4"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b w:val="0"/>
                <w:i w:val="0"/>
                <w:color w:val="000000"/>
                <w:sz w:val="24"/>
                <w:szCs w:val="24"/>
              </w:rPr>
              <w:t>被处罚</w:t>
            </w:r>
            <w:r>
              <w:rPr>
                <w:rFonts w:hint="eastAsia" w:ascii="仿宋" w:hAnsi="仿宋" w:eastAsia="仿宋" w:cs="仿宋"/>
                <w:b w:val="0"/>
                <w:i w:val="0"/>
                <w:color w:val="000000"/>
                <w:sz w:val="24"/>
                <w:szCs w:val="24"/>
                <w:lang w:val="en-US" w:eastAsia="zh-CN"/>
              </w:rPr>
              <w:t>行政相对人</w:t>
            </w:r>
            <w:r>
              <w:rPr>
                <w:rFonts w:hint="eastAsia" w:ascii="仿宋" w:hAnsi="仿宋" w:eastAsia="仿宋" w:cs="仿宋"/>
                <w:b w:val="0"/>
                <w:i w:val="0"/>
                <w:color w:val="000000"/>
                <w:sz w:val="24"/>
                <w:szCs w:val="24"/>
              </w:rPr>
              <w:t>统一社会信用代码</w:t>
            </w:r>
            <w:r>
              <w:rPr>
                <w:rFonts w:hint="eastAsia" w:ascii="仿宋" w:hAnsi="仿宋" w:eastAsia="仿宋" w:cs="仿宋"/>
                <w:b w:val="0"/>
                <w:i w:val="0"/>
                <w:color w:val="000000"/>
                <w:sz w:val="24"/>
                <w:szCs w:val="24"/>
                <w:lang w:val="en-US" w:eastAsia="zh-CN"/>
              </w:rPr>
              <w:t>或身份证号码</w:t>
            </w:r>
          </w:p>
        </w:tc>
        <w:tc>
          <w:tcPr>
            <w:tcW w:w="6322" w:type="dxa"/>
            <w:tcBorders>
              <w:top w:val="nil"/>
              <w:left w:val="nil"/>
              <w:bottom w:val="single" w:color="auto" w:sz="4"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9161000077382866XG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6" w:hRule="atLeast"/>
          <w:jc w:val="center"/>
        </w:trPr>
        <w:tc>
          <w:tcPr>
            <w:tcW w:w="545" w:type="dxa"/>
            <w:tcBorders>
              <w:top w:val="single" w:color="auto" w:sz="4" w:space="0"/>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lang w:val="en-US" w:eastAsia="zh-CN"/>
              </w:rPr>
              <w:t>10</w:t>
            </w:r>
          </w:p>
        </w:tc>
        <w:tc>
          <w:tcPr>
            <w:tcW w:w="2765" w:type="dxa"/>
            <w:tcBorders>
              <w:top w:val="single" w:color="auto" w:sz="4" w:space="0"/>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lang w:val="en-US" w:eastAsia="zh-CN"/>
              </w:rPr>
              <w:t>违法事实</w:t>
            </w:r>
          </w:p>
        </w:tc>
        <w:tc>
          <w:tcPr>
            <w:tcW w:w="6322" w:type="dxa"/>
            <w:tcBorders>
              <w:top w:val="single" w:color="auto" w:sz="4" w:space="0"/>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1.二水平盘区辅运大巷与32102综采工作面回风联巷口有一台10kv接线盒进线喇叭嘴电缆与密封圈的间隙为2mm；</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2.人员位置监测系统不具备检测标识卡唯一性的功能；3.32012综采工作面综采工作面使用两种不同型号单体液压支柱；</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4.32102综采工作面刮板输送机因未安设能发出停止、启动信号和通讯的装置，在2023年4月30日被国家矿山局监察执法二处责令停止使用，2023年5月11日现场检查时仍未安装，但在此期间煤矿仍在使用该设备；</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5.《32104运输顺槽掘进工作面作业规程》规定临时支护使用3跟前探梁，每根前探梁使用3个吊环吊挂，现场检查时每根前探梁使用2个吊环吊挂；</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6.回风井安全出口风门联锁方式错误，把正向风门和反向风门联锁；</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7.32102综采工作面带式输送机机头洒水降温装置温度探头安装在滚筒的胶带包绕侧，且温度探头与滚筒的间距超过规定；</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8.32102综采工作面运顺顺槽中绞车齿轮无保护罩；二水平运输暗斜井带式输送机驱动处没有设置防护栏；</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Chars="0" w:right="0" w:rightChars="0"/>
              <w:jc w:val="left"/>
              <w:textAlignment w:val="auto"/>
              <w:rPr>
                <w:rFonts w:hint="eastAsia" w:ascii="仿宋" w:hAnsi="仿宋" w:eastAsia="仿宋" w:cs="仿宋"/>
                <w:spacing w:val="-6"/>
                <w:sz w:val="24"/>
                <w:szCs w:val="24"/>
                <w:u w:val="none"/>
                <w:lang w:val="en-US" w:eastAsia="zh-CN"/>
              </w:rPr>
            </w:pPr>
            <w:r>
              <w:rPr>
                <w:rFonts w:hint="eastAsia" w:ascii="仿宋" w:hAnsi="仿宋" w:eastAsia="仿宋" w:cs="仿宋"/>
                <w:sz w:val="24"/>
                <w:szCs w:val="24"/>
                <w:u w:val="none"/>
                <w:lang w:val="en-US" w:eastAsia="zh-CN"/>
              </w:rPr>
              <w:t>9.32102综采工作面机尾端头支架的前探梁与回风顺槽超前支</w:t>
            </w:r>
            <w:r>
              <w:rPr>
                <w:rFonts w:hint="eastAsia" w:ascii="仿宋" w:hAnsi="仿宋" w:eastAsia="仿宋" w:cs="仿宋"/>
                <w:spacing w:val="-6"/>
                <w:sz w:val="24"/>
                <w:szCs w:val="24"/>
                <w:u w:val="none"/>
                <w:lang w:val="en-US" w:eastAsia="zh-CN"/>
              </w:rPr>
              <w:t>护之间3.2m距离无加强支护；机尾出口高度只有1.4m、宽度0.7m；</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10.矿井未落实生产安全事故隐患排查治理制度，矿井综合整治工作自查自改针对13大项465小项进行自查，矿井只查处11条诸如隔爆水袋缺水、工作服反光标志脱落等小问题，没有查出影响安全的深层次问题；隐患排查制度内容不全面，没有对“五查”工作责任人职责、工作范围、工作内容、工作流程进行明确；</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11.矿井未按规定建立从业人员安全培训档案，一期一档未做到分期归档，一人一档中缺学历证书复印件，且培训记录登记不及时和无考核情况；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Chars="0" w:right="0" w:rightChars="0"/>
              <w:jc w:val="left"/>
              <w:textAlignment w:val="auto"/>
              <w:rPr>
                <w:rFonts w:hint="eastAsia" w:ascii="仿宋" w:hAnsi="仿宋" w:eastAsia="仿宋" w:cs="仿宋"/>
                <w:color w:val="000000"/>
                <w:sz w:val="24"/>
                <w:szCs w:val="24"/>
                <w:u w:val="none"/>
                <w:lang w:eastAsia="zh-CN"/>
              </w:rPr>
            </w:pPr>
            <w:r>
              <w:rPr>
                <w:rFonts w:hint="eastAsia" w:ascii="仿宋" w:hAnsi="仿宋" w:eastAsia="仿宋" w:cs="仿宋"/>
                <w:sz w:val="24"/>
                <w:szCs w:val="24"/>
                <w:u w:val="none"/>
                <w:lang w:val="en-US" w:eastAsia="zh-CN"/>
              </w:rPr>
              <w:t>12矿井采用无轨胶轮车运输时，副斜井弯道处缺少防撞设施</w:t>
            </w:r>
            <w:r>
              <w:rPr>
                <w:rFonts w:hint="eastAsia" w:ascii="仿宋" w:hAnsi="仿宋" w:eastAsia="仿宋" w:cs="仿宋"/>
                <w:sz w:val="24"/>
                <w:szCs w:val="24"/>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6"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11</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违法依据</w:t>
            </w:r>
          </w:p>
        </w:tc>
        <w:tc>
          <w:tcPr>
            <w:tcW w:w="6322"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1.违反《煤矿电气设备安装工程施工与验收规范》（GB51145-2015）11.1.10条、《煤矿重大事故隐患判定标准》第十三条第三项、《国务院关于预防煤矿生产安全事故的特别规定》第八条第二款第十项；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2.《煤矿安全规程》第五百零五条、《中华人民共和国安全生产法》第三十六条第一项；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3.《煤矿安全规程》第一百条第二款；</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4.违反了《中华人民共和国安全生产法》第三十六条第一项；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5.《煤矿安全规程》第五十八条；</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6.《煤矿安全规程》第一百五十五条第一款；</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7.《煤矿安全规程》第三百七十四条第二项、《中华人民共和国安全生产法》第三十六条第一项；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8.《煤矿安全规程》第四百四十四条、《中华人民共和国安全生产法》第三十六条第一项；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9.《煤矿安全规程》第九十七条第二款；</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10.《中华人民共和国安全生产法》第四十一条第二款；</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11.《中华人民共和国安全生产法》第二十八条第四款；《煤矿安全培训规定》第八条；</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12.《煤矿安全规程》第三百九十二条第十项、《中华人民共和国安全生产法》第三十六条第一项。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5"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12</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处罚依据</w:t>
            </w:r>
          </w:p>
        </w:tc>
        <w:tc>
          <w:tcPr>
            <w:tcW w:w="6322"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1.《国务院关于预防煤矿生产安全事故的特别规定》第十条第一款，第十一条第一款；</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2.《中华人民共和国安全生产法》第九十九条第二项；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3.《安全生产违法行为行政处罚办法》第四十五条第一项；4.《中华人民共和国安全生产法》第九十九条第二项规定；5.依据《安全生产违法行为行政处罚办法》第四十五条第一项；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6.《中华人民共和国安全生产法》第一百零二条；</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7.《中华人民共和国安全生产法》第九十九条第二项；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8.《共和国安全生产法》第九十九条第二项；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9.依据《安全生产违法行为行政处罚办法》第四十五条第一项；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10.《中华人民共和国安全生产法》第一百零一条第四、五项；11.《中华人民共和国安全生产法》第九十七条第四项；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Chars="0" w:right="0" w:rightChars="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12.《中华人民共和国安全生产法》第九十九条第二项。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5" w:hRule="atLeast"/>
          <w:jc w:val="center"/>
        </w:trPr>
        <w:tc>
          <w:tcPr>
            <w:tcW w:w="545" w:type="dxa"/>
            <w:tcBorders>
              <w:top w:val="nil"/>
              <w:left w:val="single" w:color="333333" w:sz="6" w:space="0"/>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13</w:t>
            </w:r>
          </w:p>
        </w:tc>
        <w:tc>
          <w:tcPr>
            <w:tcW w:w="2765" w:type="dxa"/>
            <w:tcBorders>
              <w:top w:val="nil"/>
              <w:left w:val="nil"/>
              <w:bottom w:val="single" w:color="333333" w:sz="6" w:space="0"/>
              <w:right w:val="single" w:color="333333"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firstLine="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处罚结果</w:t>
            </w:r>
          </w:p>
        </w:tc>
        <w:tc>
          <w:tcPr>
            <w:tcW w:w="6322" w:type="dxa"/>
            <w:tcBorders>
              <w:top w:val="nil"/>
              <w:left w:val="nil"/>
              <w:bottom w:val="single" w:color="333333" w:sz="6" w:space="0"/>
              <w:right w:val="single" w:color="auto" w:sz="6" w:space="0"/>
            </w:tcBorders>
            <w:noWrap w:val="0"/>
            <w:tcMar>
              <w:top w:w="28" w:type="dxa"/>
              <w:left w:w="28" w:type="dxa"/>
              <w:bottom w:w="28" w:type="dxa"/>
              <w:right w:w="2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对府谷县锦盛煤矿给予警告，处罚人民币壹佰肆拾万元整（¥1400000.00）；对煤矿矿长和西东罚款人民币陆万陆仟元整（¥66000.00）。</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OGNhNmUxOGMzMWY2NzBiYWU4YmE3ZTEwODNiODIifQ=="/>
  </w:docVars>
  <w:rsids>
    <w:rsidRoot w:val="00000000"/>
    <w:rsid w:val="02D4653B"/>
    <w:rsid w:val="11101DC5"/>
    <w:rsid w:val="16B3762F"/>
    <w:rsid w:val="1A2B0F37"/>
    <w:rsid w:val="3F44357F"/>
    <w:rsid w:val="3FB1329C"/>
    <w:rsid w:val="56842029"/>
    <w:rsid w:val="67974901"/>
    <w:rsid w:val="7A465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仿宋"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宋体" w:hAnsi="Calibri" w:eastAsia="宋体" w:cs="宋体"/>
      <w:sz w:val="24"/>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2023-01-09T00:55:00Z</dcterms:created>
  <dc:creator>Administrator</dc:creator>
  <cp:lastModifiedBy>安之若素i</cp:lastModifiedBy>
  <dcterms:modified xsi:type="dcterms:W3CDTF">2023-07-05T09:58:27Z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7887FE58DE7F4C169741D394B36236F6</vt:lpwstr>
  </property>
</Properties>
</file>