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3003" w:rsidRDefault="001B3003" w:rsidP="001B3003">
      <w:pPr>
        <w:spacing w:line="600" w:lineRule="exact"/>
        <w:ind w:leftChars="-133" w:left="-406" w:firstLineChars="153" w:firstLine="467"/>
        <w:rPr>
          <w:rFonts w:ascii="黑体" w:eastAsia="黑体" w:hAnsi="黑体"/>
        </w:rPr>
      </w:pPr>
      <w:r>
        <w:rPr>
          <w:rFonts w:ascii="黑体" w:eastAsia="黑体" w:hAnsi="黑体"/>
        </w:rPr>
        <w:t>附件</w:t>
      </w:r>
    </w:p>
    <w:p w:rsidR="001B3003" w:rsidRDefault="001B3003" w:rsidP="001B3003">
      <w:pPr>
        <w:spacing w:line="460" w:lineRule="exact"/>
        <w:ind w:leftChars="-133" w:left="-406" w:firstLineChars="153" w:firstLine="467"/>
        <w:rPr>
          <w:rFonts w:ascii="黑体" w:eastAsia="黑体" w:hAnsi="黑体" w:hint="eastAsia"/>
        </w:rPr>
      </w:pPr>
    </w:p>
    <w:p w:rsidR="001B3003" w:rsidRDefault="001B3003" w:rsidP="001B3003">
      <w:pPr>
        <w:spacing w:line="520" w:lineRule="exact"/>
        <w:ind w:firstLineChars="54" w:firstLine="229"/>
        <w:jc w:val="center"/>
        <w:rPr>
          <w:rFonts w:ascii="方正小标宋简体" w:eastAsia="方正小标宋简体" w:hint="eastAsia"/>
          <w:sz w:val="44"/>
          <w:szCs w:val="44"/>
        </w:rPr>
      </w:pPr>
      <w:r>
        <w:rPr>
          <w:rFonts w:ascii="方正小标宋简体" w:eastAsia="方正小标宋简体" w:hint="eastAsia"/>
          <w:sz w:val="44"/>
          <w:szCs w:val="44"/>
        </w:rPr>
        <w:t>省级挂牌督办重大安全生产隐患销号明细表</w:t>
      </w:r>
    </w:p>
    <w:p w:rsidR="001B3003" w:rsidRDefault="001B3003" w:rsidP="001B3003">
      <w:pPr>
        <w:spacing w:line="440" w:lineRule="exact"/>
        <w:ind w:firstLineChars="54" w:firstLine="165"/>
        <w:jc w:val="center"/>
        <w:rPr>
          <w:rFonts w:ascii="黑体" w:eastAsia="黑体" w:hAnsi="黑体" w:hint="eastAsi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1"/>
        <w:gridCol w:w="804"/>
        <w:gridCol w:w="3085"/>
        <w:gridCol w:w="1725"/>
        <w:gridCol w:w="1250"/>
        <w:gridCol w:w="1138"/>
        <w:gridCol w:w="2258"/>
        <w:gridCol w:w="1128"/>
      </w:tblGrid>
      <w:tr w:rsidR="001B3003" w:rsidTr="007E677C">
        <w:trPr>
          <w:trHeight w:val="744"/>
          <w:jc w:val="center"/>
        </w:trPr>
        <w:tc>
          <w:tcPr>
            <w:tcW w:w="1911" w:type="dxa"/>
            <w:vAlign w:val="center"/>
          </w:tcPr>
          <w:p w:rsidR="001B3003" w:rsidRDefault="001B3003" w:rsidP="007E677C">
            <w:pPr>
              <w:widowControl/>
              <w:spacing w:line="340" w:lineRule="exact"/>
              <w:jc w:val="center"/>
              <w:rPr>
                <w:rFonts w:ascii="宋体" w:eastAsia="宋体" w:hAnsi="宋体" w:cs="宋体" w:hint="eastAsia"/>
                <w:b/>
                <w:kern w:val="0"/>
                <w:sz w:val="24"/>
                <w:szCs w:val="24"/>
              </w:rPr>
            </w:pPr>
            <w:r>
              <w:rPr>
                <w:rFonts w:ascii="宋体" w:eastAsia="宋体" w:hAnsi="宋体" w:cs="宋体" w:hint="eastAsia"/>
                <w:b/>
                <w:kern w:val="0"/>
                <w:sz w:val="24"/>
                <w:szCs w:val="24"/>
              </w:rPr>
              <w:t>隐患名称</w:t>
            </w:r>
          </w:p>
        </w:tc>
        <w:tc>
          <w:tcPr>
            <w:tcW w:w="804" w:type="dxa"/>
            <w:vAlign w:val="center"/>
          </w:tcPr>
          <w:p w:rsidR="001B3003" w:rsidRDefault="001B3003" w:rsidP="007E677C">
            <w:pPr>
              <w:widowControl/>
              <w:spacing w:line="340" w:lineRule="exact"/>
              <w:jc w:val="center"/>
              <w:rPr>
                <w:rFonts w:ascii="宋体" w:eastAsia="宋体" w:hAnsi="宋体" w:cs="宋体" w:hint="eastAsia"/>
                <w:b/>
                <w:kern w:val="0"/>
                <w:sz w:val="24"/>
                <w:szCs w:val="24"/>
              </w:rPr>
            </w:pPr>
            <w:r>
              <w:rPr>
                <w:rFonts w:ascii="宋体" w:eastAsia="宋体" w:hAnsi="宋体" w:cs="宋体" w:hint="eastAsia"/>
                <w:b/>
                <w:kern w:val="0"/>
                <w:sz w:val="24"/>
                <w:szCs w:val="24"/>
              </w:rPr>
              <w:t>行业</w:t>
            </w:r>
          </w:p>
          <w:p w:rsidR="001B3003" w:rsidRDefault="001B3003" w:rsidP="007E677C">
            <w:pPr>
              <w:widowControl/>
              <w:spacing w:line="340" w:lineRule="exact"/>
              <w:jc w:val="center"/>
              <w:rPr>
                <w:rFonts w:ascii="宋体" w:eastAsia="宋体" w:hAnsi="宋体" w:cs="宋体" w:hint="eastAsia"/>
                <w:b/>
                <w:kern w:val="0"/>
                <w:sz w:val="24"/>
                <w:szCs w:val="24"/>
              </w:rPr>
            </w:pPr>
            <w:r>
              <w:rPr>
                <w:rFonts w:ascii="宋体" w:eastAsia="宋体" w:hAnsi="宋体" w:cs="宋体" w:hint="eastAsia"/>
                <w:b/>
                <w:kern w:val="0"/>
                <w:sz w:val="24"/>
                <w:szCs w:val="24"/>
              </w:rPr>
              <w:t>分类</w:t>
            </w:r>
          </w:p>
        </w:tc>
        <w:tc>
          <w:tcPr>
            <w:tcW w:w="3085" w:type="dxa"/>
            <w:vAlign w:val="center"/>
          </w:tcPr>
          <w:p w:rsidR="001B3003" w:rsidRDefault="001B3003" w:rsidP="007E677C">
            <w:pPr>
              <w:widowControl/>
              <w:spacing w:line="340" w:lineRule="exact"/>
              <w:jc w:val="center"/>
              <w:rPr>
                <w:rFonts w:ascii="宋体" w:eastAsia="宋体" w:hAnsi="宋体" w:cs="宋体" w:hint="eastAsia"/>
                <w:b/>
                <w:kern w:val="0"/>
                <w:sz w:val="24"/>
                <w:szCs w:val="24"/>
              </w:rPr>
            </w:pPr>
            <w:r>
              <w:rPr>
                <w:rFonts w:ascii="宋体" w:eastAsia="宋体" w:hAnsi="宋体" w:cs="宋体" w:hint="eastAsia"/>
                <w:b/>
                <w:kern w:val="0"/>
                <w:sz w:val="24"/>
                <w:szCs w:val="24"/>
              </w:rPr>
              <w:t>隐患基本情况</w:t>
            </w:r>
          </w:p>
        </w:tc>
        <w:tc>
          <w:tcPr>
            <w:tcW w:w="1725" w:type="dxa"/>
            <w:vAlign w:val="center"/>
          </w:tcPr>
          <w:p w:rsidR="001B3003" w:rsidRDefault="001B3003" w:rsidP="007E677C">
            <w:pPr>
              <w:widowControl/>
              <w:spacing w:line="340" w:lineRule="exact"/>
              <w:jc w:val="center"/>
              <w:rPr>
                <w:rFonts w:ascii="宋体" w:eastAsia="宋体" w:hAnsi="宋体" w:cs="宋体" w:hint="eastAsia"/>
                <w:b/>
                <w:kern w:val="0"/>
                <w:sz w:val="24"/>
                <w:szCs w:val="24"/>
              </w:rPr>
            </w:pPr>
            <w:r>
              <w:rPr>
                <w:rFonts w:ascii="宋体" w:eastAsia="宋体" w:hAnsi="宋体" w:cs="宋体" w:hint="eastAsia"/>
                <w:b/>
                <w:kern w:val="0"/>
                <w:sz w:val="24"/>
                <w:szCs w:val="24"/>
              </w:rPr>
              <w:t>治理</w:t>
            </w:r>
            <w:proofErr w:type="gramStart"/>
            <w:r>
              <w:rPr>
                <w:rFonts w:ascii="宋体" w:eastAsia="宋体" w:hAnsi="宋体" w:cs="宋体" w:hint="eastAsia"/>
                <w:b/>
                <w:kern w:val="0"/>
                <w:sz w:val="24"/>
                <w:szCs w:val="24"/>
              </w:rPr>
              <w:t>责</w:t>
            </w:r>
            <w:proofErr w:type="gramEnd"/>
          </w:p>
          <w:p w:rsidR="001B3003" w:rsidRDefault="001B3003" w:rsidP="007E677C">
            <w:pPr>
              <w:widowControl/>
              <w:spacing w:line="340" w:lineRule="exact"/>
              <w:jc w:val="center"/>
              <w:rPr>
                <w:rFonts w:ascii="宋体" w:eastAsia="宋体" w:hAnsi="宋体" w:cs="宋体" w:hint="eastAsia"/>
                <w:b/>
                <w:kern w:val="0"/>
                <w:sz w:val="24"/>
                <w:szCs w:val="24"/>
              </w:rPr>
            </w:pPr>
            <w:proofErr w:type="gramStart"/>
            <w:r>
              <w:rPr>
                <w:rFonts w:ascii="宋体" w:eastAsia="宋体" w:hAnsi="宋体" w:cs="宋体" w:hint="eastAsia"/>
                <w:b/>
                <w:kern w:val="0"/>
                <w:sz w:val="24"/>
                <w:szCs w:val="24"/>
              </w:rPr>
              <w:t>任单位</w:t>
            </w:r>
            <w:proofErr w:type="gramEnd"/>
          </w:p>
        </w:tc>
        <w:tc>
          <w:tcPr>
            <w:tcW w:w="1250" w:type="dxa"/>
            <w:vAlign w:val="center"/>
          </w:tcPr>
          <w:p w:rsidR="001B3003" w:rsidRDefault="001B3003" w:rsidP="007E677C">
            <w:pPr>
              <w:widowControl/>
              <w:spacing w:line="340" w:lineRule="exact"/>
              <w:jc w:val="center"/>
              <w:rPr>
                <w:rFonts w:ascii="宋体" w:eastAsia="宋体" w:hAnsi="宋体" w:cs="宋体" w:hint="eastAsia"/>
                <w:b/>
                <w:kern w:val="0"/>
                <w:sz w:val="24"/>
                <w:szCs w:val="24"/>
              </w:rPr>
            </w:pPr>
            <w:r>
              <w:rPr>
                <w:rFonts w:ascii="宋体" w:eastAsia="宋体" w:hAnsi="宋体" w:cs="宋体" w:hint="eastAsia"/>
                <w:b/>
                <w:kern w:val="0"/>
                <w:sz w:val="24"/>
                <w:szCs w:val="24"/>
              </w:rPr>
              <w:t>属地监管</w:t>
            </w:r>
          </w:p>
          <w:p w:rsidR="001B3003" w:rsidRDefault="001B3003" w:rsidP="007E677C">
            <w:pPr>
              <w:widowControl/>
              <w:spacing w:line="340" w:lineRule="exact"/>
              <w:jc w:val="center"/>
              <w:rPr>
                <w:rFonts w:ascii="宋体" w:eastAsia="宋体" w:hAnsi="宋体" w:cs="宋体" w:hint="eastAsia"/>
                <w:b/>
                <w:kern w:val="0"/>
                <w:sz w:val="24"/>
                <w:szCs w:val="24"/>
              </w:rPr>
            </w:pPr>
            <w:r>
              <w:rPr>
                <w:rFonts w:ascii="宋体" w:eastAsia="宋体" w:hAnsi="宋体" w:cs="宋体" w:hint="eastAsia"/>
                <w:b/>
                <w:kern w:val="0"/>
                <w:sz w:val="24"/>
                <w:szCs w:val="24"/>
              </w:rPr>
              <w:t>责任单位</w:t>
            </w:r>
          </w:p>
        </w:tc>
        <w:tc>
          <w:tcPr>
            <w:tcW w:w="1138" w:type="dxa"/>
            <w:vAlign w:val="center"/>
          </w:tcPr>
          <w:p w:rsidR="001B3003" w:rsidRDefault="001B3003" w:rsidP="007E677C">
            <w:pPr>
              <w:widowControl/>
              <w:spacing w:line="340" w:lineRule="exact"/>
              <w:jc w:val="center"/>
              <w:rPr>
                <w:rFonts w:ascii="宋体" w:eastAsia="宋体" w:hAnsi="宋体" w:cs="宋体" w:hint="eastAsia"/>
                <w:b/>
                <w:kern w:val="0"/>
                <w:sz w:val="24"/>
                <w:szCs w:val="24"/>
              </w:rPr>
            </w:pPr>
            <w:r>
              <w:rPr>
                <w:rFonts w:ascii="宋体" w:eastAsia="宋体" w:hAnsi="宋体" w:cs="宋体" w:hint="eastAsia"/>
                <w:b/>
                <w:kern w:val="0"/>
                <w:sz w:val="24"/>
                <w:szCs w:val="24"/>
              </w:rPr>
              <w:t>行业督</w:t>
            </w:r>
          </w:p>
          <w:p w:rsidR="001B3003" w:rsidRDefault="001B3003" w:rsidP="007E677C">
            <w:pPr>
              <w:widowControl/>
              <w:spacing w:line="340" w:lineRule="exact"/>
              <w:jc w:val="center"/>
              <w:rPr>
                <w:rFonts w:ascii="宋体" w:eastAsia="宋体" w:hAnsi="宋体" w:cs="宋体" w:hint="eastAsia"/>
                <w:b/>
                <w:kern w:val="0"/>
                <w:sz w:val="24"/>
                <w:szCs w:val="24"/>
              </w:rPr>
            </w:pPr>
            <w:r>
              <w:rPr>
                <w:rFonts w:ascii="宋体" w:eastAsia="宋体" w:hAnsi="宋体" w:cs="宋体" w:hint="eastAsia"/>
                <w:b/>
                <w:kern w:val="0"/>
                <w:sz w:val="24"/>
                <w:szCs w:val="24"/>
              </w:rPr>
              <w:t>办单位</w:t>
            </w:r>
          </w:p>
        </w:tc>
        <w:tc>
          <w:tcPr>
            <w:tcW w:w="2258" w:type="dxa"/>
            <w:vAlign w:val="center"/>
          </w:tcPr>
          <w:p w:rsidR="001B3003" w:rsidRDefault="001B3003" w:rsidP="007E677C">
            <w:pPr>
              <w:widowControl/>
              <w:spacing w:line="340" w:lineRule="exact"/>
              <w:jc w:val="center"/>
              <w:rPr>
                <w:rFonts w:ascii="宋体" w:eastAsia="宋体" w:hAnsi="宋体" w:cs="宋体" w:hint="eastAsia"/>
                <w:b/>
                <w:kern w:val="0"/>
                <w:sz w:val="24"/>
                <w:szCs w:val="24"/>
              </w:rPr>
            </w:pPr>
            <w:r>
              <w:rPr>
                <w:rFonts w:ascii="宋体" w:eastAsia="宋体" w:hAnsi="宋体" w:cs="宋体" w:hint="eastAsia"/>
                <w:b/>
                <w:kern w:val="0"/>
                <w:sz w:val="24"/>
                <w:szCs w:val="24"/>
              </w:rPr>
              <w:t>整改时限</w:t>
            </w:r>
          </w:p>
        </w:tc>
        <w:tc>
          <w:tcPr>
            <w:tcW w:w="1128" w:type="dxa"/>
            <w:vAlign w:val="center"/>
          </w:tcPr>
          <w:p w:rsidR="001B3003" w:rsidRDefault="001B3003" w:rsidP="007E677C">
            <w:pPr>
              <w:widowControl/>
              <w:spacing w:line="340" w:lineRule="exact"/>
              <w:jc w:val="center"/>
              <w:rPr>
                <w:rFonts w:ascii="宋体" w:eastAsia="宋体" w:hAnsi="宋体" w:cs="宋体" w:hint="eastAsia"/>
                <w:b/>
                <w:kern w:val="0"/>
                <w:sz w:val="24"/>
                <w:szCs w:val="24"/>
              </w:rPr>
            </w:pPr>
            <w:r>
              <w:rPr>
                <w:rFonts w:ascii="宋体" w:eastAsia="宋体" w:hAnsi="宋体" w:cs="宋体" w:hint="eastAsia"/>
                <w:b/>
                <w:kern w:val="0"/>
                <w:sz w:val="24"/>
                <w:szCs w:val="24"/>
              </w:rPr>
              <w:t>销号意见</w:t>
            </w:r>
          </w:p>
        </w:tc>
      </w:tr>
      <w:tr w:rsidR="001B3003" w:rsidTr="007E677C">
        <w:trPr>
          <w:trHeight w:val="1655"/>
          <w:jc w:val="center"/>
        </w:trPr>
        <w:tc>
          <w:tcPr>
            <w:tcW w:w="1911" w:type="dxa"/>
            <w:vAlign w:val="center"/>
          </w:tcPr>
          <w:p w:rsidR="001B3003" w:rsidRDefault="001B3003" w:rsidP="007E677C">
            <w:pPr>
              <w:spacing w:line="340" w:lineRule="exact"/>
              <w:rPr>
                <w:rFonts w:ascii="仿宋" w:hAnsi="仿宋" w:hint="eastAsia"/>
                <w:sz w:val="24"/>
                <w:szCs w:val="24"/>
              </w:rPr>
            </w:pPr>
            <w:r>
              <w:rPr>
                <w:rFonts w:ascii="仿宋" w:hAnsi="仿宋" w:hint="eastAsia"/>
                <w:sz w:val="24"/>
                <w:szCs w:val="24"/>
              </w:rPr>
              <w:t>陕西嘉亨实业发展有限公司</w:t>
            </w:r>
          </w:p>
          <w:p w:rsidR="001B3003" w:rsidRDefault="001B3003" w:rsidP="007E677C">
            <w:pPr>
              <w:spacing w:line="340" w:lineRule="exact"/>
              <w:rPr>
                <w:rFonts w:ascii="仿宋" w:hAnsi="仿宋" w:hint="eastAsia"/>
                <w:sz w:val="24"/>
                <w:szCs w:val="24"/>
              </w:rPr>
            </w:pPr>
            <w:r>
              <w:rPr>
                <w:rFonts w:ascii="仿宋" w:hAnsi="仿宋" w:hint="eastAsia"/>
                <w:sz w:val="24"/>
                <w:szCs w:val="24"/>
              </w:rPr>
              <w:t>金鼎购物广场重大火灾隐患</w:t>
            </w:r>
          </w:p>
        </w:tc>
        <w:tc>
          <w:tcPr>
            <w:tcW w:w="804" w:type="dxa"/>
            <w:vAlign w:val="center"/>
          </w:tcPr>
          <w:p w:rsidR="001B3003" w:rsidRDefault="001B3003" w:rsidP="007E677C">
            <w:pPr>
              <w:spacing w:line="340" w:lineRule="exact"/>
              <w:rPr>
                <w:rFonts w:ascii="仿宋" w:hAnsi="仿宋" w:hint="eastAsia"/>
                <w:sz w:val="24"/>
                <w:szCs w:val="24"/>
              </w:rPr>
            </w:pPr>
            <w:r>
              <w:rPr>
                <w:rFonts w:ascii="仿宋" w:hAnsi="仿宋" w:hint="eastAsia"/>
                <w:sz w:val="24"/>
                <w:szCs w:val="24"/>
              </w:rPr>
              <w:t>消防</w:t>
            </w:r>
          </w:p>
        </w:tc>
        <w:tc>
          <w:tcPr>
            <w:tcW w:w="3085" w:type="dxa"/>
            <w:vAlign w:val="center"/>
          </w:tcPr>
          <w:p w:rsidR="001B3003" w:rsidRDefault="001B3003" w:rsidP="007E677C">
            <w:pPr>
              <w:spacing w:line="340" w:lineRule="exact"/>
              <w:rPr>
                <w:rFonts w:ascii="仿宋" w:hAnsi="仿宋" w:hint="eastAsia"/>
                <w:sz w:val="24"/>
                <w:szCs w:val="24"/>
              </w:rPr>
            </w:pPr>
            <w:r>
              <w:rPr>
                <w:rFonts w:ascii="仿宋" w:hAnsi="仿宋" w:hint="eastAsia"/>
                <w:sz w:val="24"/>
                <w:szCs w:val="24"/>
              </w:rPr>
              <w:t>所有消防设施停用、消防通道被堵塞、建筑之间既有消防间距被占用等。</w:t>
            </w:r>
          </w:p>
        </w:tc>
        <w:tc>
          <w:tcPr>
            <w:tcW w:w="1725" w:type="dxa"/>
            <w:vAlign w:val="center"/>
          </w:tcPr>
          <w:p w:rsidR="001B3003" w:rsidRDefault="001B3003" w:rsidP="007E677C">
            <w:pPr>
              <w:spacing w:line="340" w:lineRule="exact"/>
              <w:rPr>
                <w:rFonts w:ascii="仿宋" w:hAnsi="仿宋" w:hint="eastAsia"/>
                <w:sz w:val="24"/>
                <w:szCs w:val="24"/>
              </w:rPr>
            </w:pPr>
            <w:r>
              <w:rPr>
                <w:rFonts w:ascii="仿宋" w:hAnsi="仿宋" w:hint="eastAsia"/>
                <w:sz w:val="24"/>
                <w:szCs w:val="24"/>
              </w:rPr>
              <w:t>陕西嘉亨实业发展有限公司金鼎购物广场</w:t>
            </w:r>
          </w:p>
        </w:tc>
        <w:tc>
          <w:tcPr>
            <w:tcW w:w="1250" w:type="dxa"/>
            <w:vAlign w:val="center"/>
          </w:tcPr>
          <w:p w:rsidR="001B3003" w:rsidRDefault="001B3003" w:rsidP="007E677C">
            <w:pPr>
              <w:spacing w:line="340" w:lineRule="exact"/>
              <w:rPr>
                <w:rFonts w:ascii="仿宋" w:hAnsi="仿宋" w:hint="eastAsia"/>
                <w:sz w:val="24"/>
                <w:szCs w:val="24"/>
              </w:rPr>
            </w:pPr>
            <w:r>
              <w:rPr>
                <w:rFonts w:ascii="仿宋" w:hAnsi="仿宋" w:hint="eastAsia"/>
                <w:sz w:val="24"/>
                <w:szCs w:val="24"/>
              </w:rPr>
              <w:t>西安市    人民政府</w:t>
            </w:r>
          </w:p>
        </w:tc>
        <w:tc>
          <w:tcPr>
            <w:tcW w:w="1138" w:type="dxa"/>
            <w:vAlign w:val="center"/>
          </w:tcPr>
          <w:p w:rsidR="001B3003" w:rsidRDefault="001B3003" w:rsidP="007E677C">
            <w:pPr>
              <w:spacing w:line="340" w:lineRule="exact"/>
              <w:rPr>
                <w:rFonts w:ascii="仿宋" w:hAnsi="仿宋"/>
                <w:sz w:val="24"/>
                <w:szCs w:val="24"/>
              </w:rPr>
            </w:pPr>
            <w:r>
              <w:rPr>
                <w:rFonts w:ascii="仿宋" w:hAnsi="仿宋" w:hint="eastAsia"/>
                <w:sz w:val="24"/>
                <w:szCs w:val="24"/>
              </w:rPr>
              <w:t xml:space="preserve">省公安厅        </w:t>
            </w:r>
          </w:p>
        </w:tc>
        <w:tc>
          <w:tcPr>
            <w:tcW w:w="2258" w:type="dxa"/>
            <w:vAlign w:val="center"/>
          </w:tcPr>
          <w:p w:rsidR="001B3003" w:rsidRDefault="001B3003" w:rsidP="007E677C">
            <w:pPr>
              <w:spacing w:line="340" w:lineRule="exact"/>
              <w:rPr>
                <w:rFonts w:ascii="仿宋" w:hAnsi="仿宋" w:hint="eastAsia"/>
                <w:sz w:val="24"/>
                <w:szCs w:val="24"/>
              </w:rPr>
            </w:pPr>
            <w:r>
              <w:rPr>
                <w:rFonts w:ascii="仿宋" w:hAnsi="仿宋" w:hint="eastAsia"/>
                <w:sz w:val="24"/>
                <w:szCs w:val="24"/>
              </w:rPr>
              <w:t>2018年6月30日</w:t>
            </w:r>
          </w:p>
        </w:tc>
        <w:tc>
          <w:tcPr>
            <w:tcW w:w="1128" w:type="dxa"/>
            <w:vAlign w:val="center"/>
          </w:tcPr>
          <w:p w:rsidR="001B3003" w:rsidRDefault="001B3003" w:rsidP="007E677C">
            <w:pPr>
              <w:spacing w:line="340" w:lineRule="exact"/>
              <w:rPr>
                <w:rFonts w:ascii="仿宋" w:hAnsi="仿宋" w:hint="eastAsia"/>
                <w:sz w:val="24"/>
                <w:szCs w:val="24"/>
              </w:rPr>
            </w:pPr>
            <w:r>
              <w:rPr>
                <w:rFonts w:ascii="仿宋" w:hAnsi="仿宋" w:hint="eastAsia"/>
                <w:sz w:val="24"/>
                <w:szCs w:val="24"/>
              </w:rPr>
              <w:t>同意销号</w:t>
            </w:r>
          </w:p>
        </w:tc>
      </w:tr>
      <w:tr w:rsidR="001B3003" w:rsidTr="007E677C">
        <w:trPr>
          <w:trHeight w:val="1987"/>
          <w:jc w:val="center"/>
        </w:trPr>
        <w:tc>
          <w:tcPr>
            <w:tcW w:w="1911" w:type="dxa"/>
            <w:vAlign w:val="center"/>
          </w:tcPr>
          <w:p w:rsidR="001B3003" w:rsidRDefault="001B3003" w:rsidP="007E677C">
            <w:pPr>
              <w:spacing w:line="340" w:lineRule="exact"/>
              <w:rPr>
                <w:rFonts w:ascii="仿宋" w:hAnsi="仿宋" w:hint="eastAsia"/>
                <w:sz w:val="24"/>
                <w:szCs w:val="24"/>
              </w:rPr>
            </w:pPr>
            <w:r>
              <w:rPr>
                <w:rFonts w:ascii="仿宋" w:hAnsi="仿宋" w:hint="eastAsia"/>
                <w:sz w:val="24"/>
                <w:szCs w:val="24"/>
              </w:rPr>
              <w:t>宝鸡美居乐国际家居博览中心自动喷水灭火系统不能正常使用等隐患</w:t>
            </w:r>
          </w:p>
        </w:tc>
        <w:tc>
          <w:tcPr>
            <w:tcW w:w="804" w:type="dxa"/>
            <w:vAlign w:val="center"/>
          </w:tcPr>
          <w:p w:rsidR="001B3003" w:rsidRDefault="001B3003" w:rsidP="007E677C">
            <w:pPr>
              <w:spacing w:line="340" w:lineRule="exact"/>
              <w:rPr>
                <w:rFonts w:ascii="仿宋" w:hAnsi="仿宋" w:hint="eastAsia"/>
                <w:sz w:val="24"/>
                <w:szCs w:val="24"/>
              </w:rPr>
            </w:pPr>
            <w:r>
              <w:rPr>
                <w:rFonts w:ascii="仿宋" w:hAnsi="仿宋" w:hint="eastAsia"/>
                <w:sz w:val="24"/>
                <w:szCs w:val="24"/>
              </w:rPr>
              <w:t>消防</w:t>
            </w:r>
          </w:p>
        </w:tc>
        <w:tc>
          <w:tcPr>
            <w:tcW w:w="3085" w:type="dxa"/>
            <w:vAlign w:val="center"/>
          </w:tcPr>
          <w:p w:rsidR="001B3003" w:rsidRDefault="001B3003" w:rsidP="007E677C">
            <w:pPr>
              <w:spacing w:line="340" w:lineRule="exact"/>
              <w:rPr>
                <w:rFonts w:ascii="仿宋" w:hAnsi="仿宋" w:hint="eastAsia"/>
                <w:sz w:val="24"/>
                <w:szCs w:val="24"/>
              </w:rPr>
            </w:pPr>
            <w:r>
              <w:rPr>
                <w:rFonts w:ascii="仿宋" w:hAnsi="仿宋" w:hint="eastAsia"/>
                <w:sz w:val="24"/>
                <w:szCs w:val="24"/>
              </w:rPr>
              <w:t>1.自动喷水灭火系统不能正常使用；</w:t>
            </w:r>
          </w:p>
          <w:p w:rsidR="001B3003" w:rsidRDefault="001B3003" w:rsidP="007E677C">
            <w:pPr>
              <w:spacing w:line="340" w:lineRule="exact"/>
              <w:rPr>
                <w:rFonts w:ascii="仿宋" w:hAnsi="仿宋" w:hint="eastAsia"/>
                <w:sz w:val="24"/>
                <w:szCs w:val="24"/>
              </w:rPr>
            </w:pPr>
            <w:r>
              <w:rPr>
                <w:rFonts w:ascii="仿宋" w:hAnsi="仿宋" w:hint="eastAsia"/>
                <w:sz w:val="24"/>
                <w:szCs w:val="24"/>
              </w:rPr>
              <w:t>2.商业营业厅无自然通风且未设置机械排烟设施；</w:t>
            </w:r>
          </w:p>
          <w:p w:rsidR="001B3003" w:rsidRDefault="001B3003" w:rsidP="007E677C">
            <w:pPr>
              <w:spacing w:line="340" w:lineRule="exact"/>
              <w:rPr>
                <w:rFonts w:ascii="仿宋" w:hAnsi="仿宋" w:hint="eastAsia"/>
                <w:sz w:val="24"/>
                <w:szCs w:val="24"/>
              </w:rPr>
            </w:pPr>
            <w:r>
              <w:rPr>
                <w:rFonts w:ascii="仿宋" w:hAnsi="仿宋" w:hint="eastAsia"/>
                <w:sz w:val="24"/>
                <w:szCs w:val="24"/>
              </w:rPr>
              <w:t>3.未设置消防水池、消防水泵房。</w:t>
            </w:r>
          </w:p>
        </w:tc>
        <w:tc>
          <w:tcPr>
            <w:tcW w:w="1725" w:type="dxa"/>
            <w:vAlign w:val="center"/>
          </w:tcPr>
          <w:p w:rsidR="001B3003" w:rsidRDefault="001B3003" w:rsidP="007E677C">
            <w:pPr>
              <w:spacing w:line="340" w:lineRule="exact"/>
              <w:rPr>
                <w:rFonts w:ascii="仿宋" w:hAnsi="仿宋" w:hint="eastAsia"/>
                <w:sz w:val="24"/>
                <w:szCs w:val="24"/>
              </w:rPr>
            </w:pPr>
            <w:r>
              <w:rPr>
                <w:rFonts w:ascii="仿宋" w:hAnsi="仿宋" w:hint="eastAsia"/>
                <w:sz w:val="24"/>
                <w:szCs w:val="24"/>
              </w:rPr>
              <w:t>宝鸡美居乐国际家居博览中心</w:t>
            </w:r>
          </w:p>
        </w:tc>
        <w:tc>
          <w:tcPr>
            <w:tcW w:w="1250" w:type="dxa"/>
            <w:vAlign w:val="center"/>
          </w:tcPr>
          <w:p w:rsidR="001B3003" w:rsidRDefault="001B3003" w:rsidP="007E677C">
            <w:pPr>
              <w:spacing w:line="340" w:lineRule="exact"/>
              <w:rPr>
                <w:rFonts w:ascii="仿宋" w:hAnsi="仿宋" w:hint="eastAsia"/>
                <w:sz w:val="24"/>
                <w:szCs w:val="24"/>
              </w:rPr>
            </w:pPr>
            <w:r>
              <w:rPr>
                <w:rFonts w:ascii="仿宋" w:hAnsi="仿宋" w:hint="eastAsia"/>
                <w:sz w:val="24"/>
                <w:szCs w:val="24"/>
              </w:rPr>
              <w:t>宝鸡市     人民政府</w:t>
            </w:r>
          </w:p>
        </w:tc>
        <w:tc>
          <w:tcPr>
            <w:tcW w:w="1138" w:type="dxa"/>
            <w:vAlign w:val="center"/>
          </w:tcPr>
          <w:p w:rsidR="001B3003" w:rsidRDefault="001B3003" w:rsidP="007E677C">
            <w:pPr>
              <w:spacing w:line="340" w:lineRule="exact"/>
              <w:jc w:val="center"/>
              <w:rPr>
                <w:rFonts w:ascii="仿宋" w:hAnsi="仿宋" w:hint="eastAsia"/>
                <w:sz w:val="24"/>
                <w:szCs w:val="24"/>
              </w:rPr>
            </w:pPr>
            <w:r>
              <w:rPr>
                <w:rFonts w:ascii="仿宋" w:hAnsi="仿宋" w:hint="eastAsia"/>
                <w:sz w:val="24"/>
                <w:szCs w:val="24"/>
              </w:rPr>
              <w:t>省公安厅</w:t>
            </w:r>
          </w:p>
        </w:tc>
        <w:tc>
          <w:tcPr>
            <w:tcW w:w="2258" w:type="dxa"/>
            <w:vAlign w:val="center"/>
          </w:tcPr>
          <w:p w:rsidR="001B3003" w:rsidRDefault="001B3003" w:rsidP="007E677C">
            <w:pPr>
              <w:spacing w:line="340" w:lineRule="exact"/>
              <w:jc w:val="center"/>
              <w:rPr>
                <w:rFonts w:ascii="仿宋" w:hAnsi="仿宋" w:hint="eastAsia"/>
                <w:sz w:val="24"/>
                <w:szCs w:val="24"/>
              </w:rPr>
            </w:pPr>
            <w:r>
              <w:rPr>
                <w:rFonts w:ascii="仿宋" w:hAnsi="仿宋" w:hint="eastAsia"/>
                <w:sz w:val="24"/>
                <w:szCs w:val="24"/>
              </w:rPr>
              <w:t>2018年12月31日</w:t>
            </w:r>
          </w:p>
        </w:tc>
        <w:tc>
          <w:tcPr>
            <w:tcW w:w="1128" w:type="dxa"/>
            <w:vAlign w:val="center"/>
          </w:tcPr>
          <w:p w:rsidR="001B3003" w:rsidRDefault="001B3003" w:rsidP="007E677C">
            <w:pPr>
              <w:spacing w:line="340" w:lineRule="exact"/>
              <w:jc w:val="center"/>
              <w:rPr>
                <w:rFonts w:ascii="仿宋" w:hAnsi="仿宋" w:hint="eastAsia"/>
                <w:sz w:val="24"/>
                <w:szCs w:val="24"/>
              </w:rPr>
            </w:pPr>
            <w:r>
              <w:rPr>
                <w:rFonts w:ascii="仿宋" w:hAnsi="仿宋" w:hint="eastAsia"/>
                <w:sz w:val="24"/>
                <w:szCs w:val="24"/>
              </w:rPr>
              <w:t>同意销号</w:t>
            </w:r>
          </w:p>
        </w:tc>
      </w:tr>
      <w:tr w:rsidR="001B3003" w:rsidTr="007E677C">
        <w:trPr>
          <w:trHeight w:val="1987"/>
          <w:jc w:val="center"/>
        </w:trPr>
        <w:tc>
          <w:tcPr>
            <w:tcW w:w="1911" w:type="dxa"/>
            <w:vAlign w:val="center"/>
          </w:tcPr>
          <w:p w:rsidR="001B3003" w:rsidRDefault="001B3003" w:rsidP="007E677C">
            <w:pPr>
              <w:spacing w:line="300" w:lineRule="exact"/>
              <w:jc w:val="center"/>
              <w:rPr>
                <w:rFonts w:ascii="仿宋" w:hAnsi="仿宋" w:hint="eastAsia"/>
                <w:color w:val="000000"/>
                <w:sz w:val="24"/>
                <w:szCs w:val="24"/>
              </w:rPr>
            </w:pPr>
            <w:r>
              <w:rPr>
                <w:rFonts w:ascii="仿宋" w:hAnsi="仿宋" w:hint="eastAsia"/>
                <w:color w:val="000000"/>
                <w:sz w:val="24"/>
                <w:szCs w:val="24"/>
              </w:rPr>
              <w:t>陕西东鑫垣化工有限公司轻质油储罐区安全隐患</w:t>
            </w:r>
          </w:p>
        </w:tc>
        <w:tc>
          <w:tcPr>
            <w:tcW w:w="804" w:type="dxa"/>
            <w:vAlign w:val="center"/>
          </w:tcPr>
          <w:p w:rsidR="001B3003" w:rsidRDefault="001B3003" w:rsidP="007E677C">
            <w:pPr>
              <w:spacing w:line="300" w:lineRule="exact"/>
              <w:jc w:val="center"/>
              <w:rPr>
                <w:rFonts w:ascii="仿宋" w:hAnsi="仿宋" w:hint="eastAsia"/>
                <w:color w:val="000000"/>
                <w:sz w:val="24"/>
                <w:szCs w:val="24"/>
              </w:rPr>
            </w:pPr>
            <w:r>
              <w:rPr>
                <w:rFonts w:ascii="仿宋" w:hAnsi="仿宋" w:hint="eastAsia"/>
                <w:color w:val="000000"/>
                <w:sz w:val="24"/>
                <w:szCs w:val="24"/>
              </w:rPr>
              <w:t>危险</w:t>
            </w:r>
          </w:p>
          <w:p w:rsidR="001B3003" w:rsidRDefault="001B3003" w:rsidP="007E677C">
            <w:pPr>
              <w:spacing w:line="300" w:lineRule="exact"/>
              <w:jc w:val="center"/>
              <w:rPr>
                <w:rFonts w:ascii="仿宋" w:hAnsi="仿宋" w:hint="eastAsia"/>
                <w:color w:val="000000"/>
                <w:sz w:val="24"/>
                <w:szCs w:val="24"/>
              </w:rPr>
            </w:pPr>
            <w:r>
              <w:rPr>
                <w:rFonts w:ascii="仿宋" w:hAnsi="仿宋" w:hint="eastAsia"/>
                <w:color w:val="000000"/>
                <w:sz w:val="24"/>
                <w:szCs w:val="24"/>
              </w:rPr>
              <w:t>化学品</w:t>
            </w:r>
          </w:p>
        </w:tc>
        <w:tc>
          <w:tcPr>
            <w:tcW w:w="3085" w:type="dxa"/>
            <w:vAlign w:val="center"/>
          </w:tcPr>
          <w:p w:rsidR="001B3003" w:rsidRDefault="001B3003" w:rsidP="007E677C">
            <w:pPr>
              <w:spacing w:line="300" w:lineRule="exact"/>
              <w:rPr>
                <w:rFonts w:ascii="仿宋" w:hAnsi="仿宋" w:hint="eastAsia"/>
                <w:color w:val="000000"/>
                <w:sz w:val="24"/>
                <w:szCs w:val="24"/>
              </w:rPr>
            </w:pPr>
            <w:r>
              <w:rPr>
                <w:rFonts w:ascii="仿宋" w:hAnsi="仿宋" w:hint="eastAsia"/>
                <w:color w:val="000000"/>
                <w:sz w:val="24"/>
                <w:szCs w:val="24"/>
              </w:rPr>
              <w:t>轻质油储罐区构成二级重大危险源，未配备独立的安全仪表系统。</w:t>
            </w:r>
          </w:p>
        </w:tc>
        <w:tc>
          <w:tcPr>
            <w:tcW w:w="1725" w:type="dxa"/>
            <w:vAlign w:val="center"/>
          </w:tcPr>
          <w:p w:rsidR="001B3003" w:rsidRDefault="001B3003" w:rsidP="007E677C">
            <w:pPr>
              <w:spacing w:line="300" w:lineRule="exact"/>
              <w:jc w:val="center"/>
              <w:rPr>
                <w:rFonts w:ascii="仿宋" w:hAnsi="仿宋" w:hint="eastAsia"/>
                <w:color w:val="000000"/>
                <w:sz w:val="24"/>
                <w:szCs w:val="24"/>
              </w:rPr>
            </w:pPr>
            <w:r>
              <w:rPr>
                <w:rFonts w:ascii="仿宋" w:hAnsi="仿宋" w:hint="eastAsia"/>
                <w:color w:val="000000"/>
                <w:sz w:val="24"/>
                <w:szCs w:val="24"/>
              </w:rPr>
              <w:t>陕西东</w:t>
            </w:r>
            <w:proofErr w:type="gramStart"/>
            <w:r>
              <w:rPr>
                <w:rFonts w:ascii="仿宋" w:hAnsi="仿宋" w:hint="eastAsia"/>
                <w:color w:val="000000"/>
                <w:sz w:val="24"/>
                <w:szCs w:val="24"/>
              </w:rPr>
              <w:t>鑫</w:t>
            </w:r>
            <w:proofErr w:type="gramEnd"/>
            <w:r>
              <w:rPr>
                <w:rFonts w:ascii="仿宋" w:hAnsi="仿宋" w:hint="eastAsia"/>
                <w:color w:val="000000"/>
                <w:sz w:val="24"/>
                <w:szCs w:val="24"/>
              </w:rPr>
              <w:t>垣</w:t>
            </w:r>
          </w:p>
          <w:p w:rsidR="001B3003" w:rsidRDefault="001B3003" w:rsidP="007E677C">
            <w:pPr>
              <w:spacing w:line="300" w:lineRule="exact"/>
              <w:jc w:val="center"/>
              <w:rPr>
                <w:rFonts w:ascii="仿宋" w:hAnsi="仿宋" w:hint="eastAsia"/>
                <w:color w:val="000000"/>
                <w:sz w:val="24"/>
                <w:szCs w:val="24"/>
              </w:rPr>
            </w:pPr>
            <w:r>
              <w:rPr>
                <w:rFonts w:ascii="仿宋" w:hAnsi="仿宋" w:hint="eastAsia"/>
                <w:color w:val="000000"/>
                <w:sz w:val="24"/>
                <w:szCs w:val="24"/>
              </w:rPr>
              <w:t>化工有限公司</w:t>
            </w:r>
          </w:p>
        </w:tc>
        <w:tc>
          <w:tcPr>
            <w:tcW w:w="1250" w:type="dxa"/>
            <w:vAlign w:val="center"/>
          </w:tcPr>
          <w:p w:rsidR="001B3003" w:rsidRDefault="001B3003" w:rsidP="007E677C">
            <w:pPr>
              <w:spacing w:line="300" w:lineRule="exact"/>
              <w:jc w:val="center"/>
              <w:rPr>
                <w:rFonts w:ascii="仿宋" w:hAnsi="仿宋" w:hint="eastAsia"/>
                <w:color w:val="000000"/>
                <w:sz w:val="24"/>
                <w:szCs w:val="24"/>
              </w:rPr>
            </w:pPr>
            <w:r>
              <w:rPr>
                <w:rFonts w:ascii="仿宋" w:hAnsi="仿宋" w:hint="eastAsia"/>
                <w:color w:val="000000"/>
                <w:sz w:val="24"/>
                <w:szCs w:val="24"/>
              </w:rPr>
              <w:t>榆林市</w:t>
            </w:r>
          </w:p>
          <w:p w:rsidR="001B3003" w:rsidRDefault="001B3003" w:rsidP="007E677C">
            <w:pPr>
              <w:spacing w:line="300" w:lineRule="exact"/>
              <w:jc w:val="center"/>
              <w:rPr>
                <w:rFonts w:ascii="仿宋" w:hAnsi="仿宋" w:hint="eastAsia"/>
                <w:color w:val="000000"/>
                <w:sz w:val="24"/>
                <w:szCs w:val="24"/>
              </w:rPr>
            </w:pPr>
            <w:r>
              <w:rPr>
                <w:rFonts w:ascii="仿宋" w:hAnsi="仿宋" w:hint="eastAsia"/>
                <w:color w:val="000000"/>
                <w:sz w:val="24"/>
                <w:szCs w:val="24"/>
              </w:rPr>
              <w:t>人民政府</w:t>
            </w:r>
          </w:p>
        </w:tc>
        <w:tc>
          <w:tcPr>
            <w:tcW w:w="1138" w:type="dxa"/>
            <w:vAlign w:val="center"/>
          </w:tcPr>
          <w:p w:rsidR="001B3003" w:rsidRDefault="001B3003" w:rsidP="007E677C">
            <w:pPr>
              <w:spacing w:line="300" w:lineRule="exact"/>
              <w:jc w:val="center"/>
              <w:rPr>
                <w:rFonts w:ascii="仿宋" w:hAnsi="仿宋" w:hint="eastAsia"/>
                <w:color w:val="000000"/>
                <w:sz w:val="24"/>
                <w:szCs w:val="24"/>
              </w:rPr>
            </w:pPr>
            <w:r>
              <w:rPr>
                <w:rFonts w:ascii="仿宋" w:hAnsi="仿宋" w:hint="eastAsia"/>
                <w:color w:val="000000"/>
                <w:sz w:val="24"/>
                <w:szCs w:val="24"/>
              </w:rPr>
              <w:t>省应急厅</w:t>
            </w:r>
          </w:p>
        </w:tc>
        <w:tc>
          <w:tcPr>
            <w:tcW w:w="2258" w:type="dxa"/>
            <w:vAlign w:val="center"/>
          </w:tcPr>
          <w:p w:rsidR="001B3003" w:rsidRDefault="001B3003" w:rsidP="007E677C">
            <w:pPr>
              <w:spacing w:line="300" w:lineRule="exact"/>
              <w:jc w:val="center"/>
              <w:rPr>
                <w:rFonts w:ascii="仿宋" w:hAnsi="仿宋" w:hint="eastAsia"/>
                <w:color w:val="000000"/>
                <w:sz w:val="24"/>
                <w:szCs w:val="24"/>
              </w:rPr>
            </w:pPr>
            <w:r>
              <w:rPr>
                <w:rFonts w:ascii="仿宋" w:hAnsi="仿宋" w:hint="eastAsia"/>
                <w:color w:val="000000"/>
                <w:sz w:val="24"/>
                <w:szCs w:val="24"/>
              </w:rPr>
              <w:t>2020年12月20日前</w:t>
            </w:r>
          </w:p>
        </w:tc>
        <w:tc>
          <w:tcPr>
            <w:tcW w:w="1128" w:type="dxa"/>
            <w:vAlign w:val="center"/>
          </w:tcPr>
          <w:p w:rsidR="001B3003" w:rsidRDefault="001B3003" w:rsidP="007E677C">
            <w:pPr>
              <w:spacing w:line="340" w:lineRule="exact"/>
              <w:jc w:val="center"/>
              <w:rPr>
                <w:rFonts w:ascii="仿宋" w:hAnsi="仿宋" w:hint="eastAsia"/>
                <w:sz w:val="24"/>
                <w:szCs w:val="24"/>
              </w:rPr>
            </w:pPr>
            <w:r>
              <w:rPr>
                <w:rFonts w:ascii="仿宋" w:hAnsi="仿宋" w:hint="eastAsia"/>
                <w:sz w:val="24"/>
                <w:szCs w:val="24"/>
              </w:rPr>
              <w:t>同意销号</w:t>
            </w:r>
          </w:p>
        </w:tc>
      </w:tr>
    </w:tbl>
    <w:p w:rsidR="001B3003" w:rsidRDefault="001B3003" w:rsidP="001B3003">
      <w:pPr>
        <w:tabs>
          <w:tab w:val="left" w:pos="5928"/>
          <w:tab w:val="left" w:pos="6240"/>
        </w:tabs>
        <w:rPr>
          <w:rFonts w:ascii="宋体" w:eastAsia="宋体" w:hAnsi="宋体" w:hint="eastAsia"/>
          <w:sz w:val="24"/>
          <w:szCs w:val="24"/>
        </w:rPr>
        <w:sectPr w:rsidR="001B3003">
          <w:footerReference w:type="even" r:id="rId4"/>
          <w:footerReference w:type="default" r:id="rId5"/>
          <w:pgSz w:w="16838" w:h="11906" w:orient="landscape"/>
          <w:pgMar w:top="1701" w:right="1587" w:bottom="850" w:left="1587" w:header="851" w:footer="907" w:gutter="0"/>
          <w:pgNumType w:fmt="numberInDash"/>
          <w:cols w:space="720"/>
          <w:docGrid w:type="linesAndChars" w:linePitch="596" w:charSpace="-3080"/>
        </w:sectPr>
      </w:pPr>
    </w:p>
    <w:p w:rsidR="009C130B" w:rsidRPr="001B3003" w:rsidRDefault="009C130B" w:rsidP="001B3003">
      <w:pPr>
        <w:tabs>
          <w:tab w:val="left" w:pos="4111"/>
          <w:tab w:val="right" w:pos="8640"/>
        </w:tabs>
        <w:rPr>
          <w:rFonts w:ascii="宋体" w:eastAsia="宋体" w:hAnsi="宋体" w:hint="eastAsia"/>
          <w:sz w:val="24"/>
          <w:szCs w:val="24"/>
        </w:rPr>
      </w:pPr>
      <w:bookmarkStart w:id="0" w:name="_GoBack"/>
      <w:bookmarkEnd w:id="0"/>
    </w:p>
    <w:sectPr w:rsidR="009C130B" w:rsidRPr="001B3003">
      <w:footerReference w:type="even" r:id="rId6"/>
      <w:footerReference w:type="default" r:id="rId7"/>
      <w:pgSz w:w="11906" w:h="16838"/>
      <w:pgMar w:top="1701" w:right="1587" w:bottom="1587" w:left="1587" w:header="851" w:footer="811" w:gutter="0"/>
      <w:pgNumType w:fmt="numberInDash"/>
      <w:cols w:space="720"/>
      <w:docGrid w:type="linesAndChars" w:linePitch="649" w:charSpace="-30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003" w:rsidRDefault="001B3003">
    <w:pPr>
      <w:pStyle w:val="a3"/>
    </w:pPr>
    <w:r>
      <w:rPr>
        <w:noProof/>
        <w:sz w:val="28"/>
      </w:rPr>
      <mc:AlternateContent>
        <mc:Choice Requires="wps">
          <w:drawing>
            <wp:anchor distT="0" distB="0" distL="114300" distR="114300" simplePos="0" relativeHeight="251660288" behindDoc="0" locked="0" layoutInCell="1" allowOverlap="1" wp14:anchorId="61FA9E8D" wp14:editId="66A16B06">
              <wp:simplePos x="0" y="0"/>
              <wp:positionH relativeFrom="margin">
                <wp:align>outside</wp:align>
              </wp:positionH>
              <wp:positionV relativeFrom="paragraph">
                <wp:posOffset>0</wp:posOffset>
              </wp:positionV>
              <wp:extent cx="445135" cy="230505"/>
              <wp:effectExtent l="0" t="4445" r="4445" b="3175"/>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1B3003" w:rsidRDefault="001B3003">
                          <w:pPr>
                            <w:pStyle w:val="a3"/>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954B08">
                            <w:rPr>
                              <w:rFonts w:ascii="宋体" w:eastAsia="宋体" w:hAnsi="宋体"/>
                              <w:noProof/>
                              <w:sz w:val="28"/>
                              <w:szCs w:val="28"/>
                              <w:lang w:val="zh-CN"/>
                            </w:rPr>
                            <w:t>-</w:t>
                          </w:r>
                          <w:r>
                            <w:rPr>
                              <w:rFonts w:ascii="宋体" w:eastAsia="宋体" w:hAnsi="宋体"/>
                              <w:noProof/>
                              <w:sz w:val="28"/>
                              <w:szCs w:val="28"/>
                            </w:rPr>
                            <w:t xml:space="preserve"> 2 -</w:t>
                          </w:r>
                          <w:r>
                            <w:rPr>
                              <w:rFonts w:ascii="宋体" w:eastAsia="宋体" w:hAnsi="宋体"/>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FA9E8D" id="_x0000_t202" coordsize="21600,21600" o:spt="202" path="m,l,21600r21600,l21600,xe">
              <v:stroke joinstyle="miter"/>
              <v:path gradientshapeok="t" o:connecttype="rect"/>
            </v:shapetype>
            <v:shape id="文本框 4" o:spid="_x0000_s1026" type="#_x0000_t202" style="position:absolute;margin-left:-16.15pt;margin-top:0;width:35.05pt;height:18.15pt;z-index:251660288;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" filled="f" stroked="f">
              <v:textbox style="mso-fit-shape-to-text:t" inset="0,0,0,0">
                <w:txbxContent>
                  <w:p w:rsidR="001B3003" w:rsidRDefault="001B3003">
                    <w:pPr>
                      <w:pStyle w:val="a3"/>
                    </w:pP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sidRPr="00954B08">
                      <w:rPr>
                        <w:rFonts w:ascii="宋体" w:eastAsia="宋体" w:hAnsi="宋体"/>
                        <w:noProof/>
                        <w:sz w:val="28"/>
                        <w:szCs w:val="28"/>
                        <w:lang w:val="zh-CN"/>
                      </w:rPr>
                      <w:t>-</w:t>
                    </w:r>
                    <w:r>
                      <w:rPr>
                        <w:rFonts w:ascii="宋体" w:eastAsia="宋体" w:hAnsi="宋体"/>
                        <w:noProof/>
                        <w:sz w:val="28"/>
                        <w:szCs w:val="28"/>
                      </w:rPr>
                      <w:t xml:space="preserve"> 2 -</w:t>
                    </w:r>
                    <w:r>
                      <w:rPr>
                        <w:rFonts w:ascii="宋体" w:eastAsia="宋体" w:hAnsi="宋体"/>
                        <w:sz w:val="28"/>
                        <w:szCs w:val="28"/>
                      </w:rP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3003" w:rsidRDefault="001B3003">
    <w:pPr>
      <w:pStyle w:val="a3"/>
    </w:pPr>
    <w:r>
      <w:rPr>
        <w:noProof/>
      </w:rPr>
      <mc:AlternateContent>
        <mc:Choice Requires="wps">
          <w:drawing>
            <wp:anchor distT="0" distB="0" distL="114300" distR="114300" simplePos="0" relativeHeight="251659264" behindDoc="0" locked="0" layoutInCell="1" allowOverlap="1" wp14:anchorId="5993C348" wp14:editId="14B795E6">
              <wp:simplePos x="0" y="0"/>
              <wp:positionH relativeFrom="margin">
                <wp:align>outside</wp:align>
              </wp:positionH>
              <wp:positionV relativeFrom="paragraph">
                <wp:posOffset>0</wp:posOffset>
              </wp:positionV>
              <wp:extent cx="1828800" cy="1828800"/>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1B3003" w:rsidRDefault="001B3003">
                          <w:pPr>
                            <w:pStyle w:val="a3"/>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993C348" id="_x0000_t202" coordsize="21600,21600" o:spt="202" path="m,l,21600r21600,l21600,xe">
              <v:stroke joinstyle="miter"/>
              <v:path gradientshapeok="t" o:connecttype="rect"/>
            </v:shapetype>
            <v:shape id="文本框 3" o:spid="_x0000_s1027" type="#_x0000_t202" style="position:absolute;margin-left:92.8pt;margin-top:0;width:2in;height:2in;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" filled="f" stroked="f">
              <v:textbox style="mso-fit-shape-to-text:t" inset="0,0,0,0">
                <w:txbxContent>
                  <w:p w:rsidR="001B3003" w:rsidRDefault="001B3003">
                    <w:pPr>
                      <w:pStyle w:val="a3"/>
                      <w:rPr>
                        <w:rFonts w:ascii="宋体" w:eastAsia="宋体" w:hAnsi="宋体" w:cs="宋体" w:hint="eastAsia"/>
                        <w:sz w:val="28"/>
                        <w:szCs w:val="28"/>
                      </w:rPr>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B3003">
    <w:pPr>
      <w:pStyle w:val="a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B3003">
    <w:pPr>
      <w:pStyle w:val="a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003"/>
    <w:rsid w:val="001B3003"/>
    <w:rsid w:val="009C1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CC03D6-D375-41C7-8A85-E8D8E4E9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003"/>
    <w:pPr>
      <w:widowControl w:val="0"/>
      <w:jc w:val="both"/>
    </w:pPr>
    <w:rPr>
      <w:rFonts w:ascii="Times New Roman" w:eastAsia="仿宋"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1B3003"/>
    <w:rPr>
      <w:rFonts w:eastAsia="仿宋_GB2312"/>
      <w:sz w:val="18"/>
      <w:szCs w:val="18"/>
    </w:rPr>
  </w:style>
  <w:style w:type="paragraph" w:styleId="a3">
    <w:name w:val="footer"/>
    <w:basedOn w:val="a"/>
    <w:link w:val="Char"/>
    <w:uiPriority w:val="99"/>
    <w:rsid w:val="001B3003"/>
    <w:pPr>
      <w:tabs>
        <w:tab w:val="center" w:pos="4153"/>
        <w:tab w:val="right" w:pos="8306"/>
      </w:tabs>
      <w:snapToGrid w:val="0"/>
      <w:jc w:val="left"/>
    </w:pPr>
    <w:rPr>
      <w:rFonts w:asciiTheme="minorHAnsi" w:eastAsia="仿宋_GB2312" w:hAnsiTheme="minorHAnsi" w:cstheme="minorBidi"/>
      <w:sz w:val="18"/>
      <w:szCs w:val="18"/>
    </w:rPr>
  </w:style>
  <w:style w:type="character" w:customStyle="1" w:styleId="Char1">
    <w:name w:val="页脚 Char1"/>
    <w:basedOn w:val="a0"/>
    <w:uiPriority w:val="99"/>
    <w:semiHidden/>
    <w:rsid w:val="001B3003"/>
    <w:rPr>
      <w:rFonts w:ascii="Times New Roman" w:eastAsia="仿宋"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Words>
  <Characters>386</Characters>
  <Application>Microsoft Office Word</Application>
  <DocSecurity>0</DocSecurity>
  <Lines>3</Lines>
  <Paragraphs>1</Paragraphs>
  <ScaleCrop>false</ScaleCrop>
  <Company>MS</Company>
  <LinksUpToDate>false</LinksUpToDate>
  <CharactersWithSpaces>452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2020-09-27T07:28:00Z</dcterms:created>
  <dcterms:modified xsi:type="dcterms:W3CDTF">2020-09-27T07:29:00Z</dcterms:modified>
</cp:coreProperties>
</file>