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11" w:rsidRDefault="009D4F11" w:rsidP="009D4F11">
      <w:pPr>
        <w:spacing w:line="600" w:lineRule="exact"/>
        <w:ind w:leftChars="-133" w:left="-406" w:firstLineChars="153" w:firstLine="467"/>
        <w:rPr>
          <w:rFonts w:ascii="黑体" w:eastAsia="黑体" w:hAnsi="黑体"/>
        </w:rPr>
      </w:pPr>
      <w:r>
        <w:rPr>
          <w:rFonts w:ascii="黑体" w:eastAsia="黑体" w:hAnsi="黑体"/>
        </w:rPr>
        <w:t>附件</w:t>
      </w:r>
    </w:p>
    <w:p w:rsidR="009D4F11" w:rsidRDefault="009D4F11" w:rsidP="009D4F11">
      <w:pPr>
        <w:spacing w:line="460" w:lineRule="exact"/>
        <w:ind w:leftChars="-133" w:left="-406" w:firstLineChars="153" w:firstLine="467"/>
        <w:rPr>
          <w:rFonts w:ascii="黑体" w:eastAsia="黑体" w:hAnsi="黑体" w:hint="eastAsia"/>
        </w:rPr>
      </w:pPr>
    </w:p>
    <w:p w:rsidR="009D4F11" w:rsidRDefault="009D4F11" w:rsidP="009D4F11">
      <w:pPr>
        <w:spacing w:line="520" w:lineRule="exact"/>
        <w:ind w:firstLineChars="54" w:firstLine="229"/>
        <w:jc w:val="center"/>
        <w:rPr>
          <w:rFonts w:ascii="方正小标宋简体" w:eastAsia="方正小标宋简体" w:hint="eastAsia"/>
          <w:sz w:val="44"/>
          <w:szCs w:val="44"/>
        </w:rPr>
      </w:pPr>
      <w:r>
        <w:rPr>
          <w:rFonts w:ascii="方正小标宋简体" w:eastAsia="方正小标宋简体" w:hint="eastAsia"/>
          <w:sz w:val="44"/>
          <w:szCs w:val="44"/>
        </w:rPr>
        <w:t>省级挂牌督办安全生产重大事故隐患销号明细表</w:t>
      </w:r>
    </w:p>
    <w:p w:rsidR="009D4F11" w:rsidRDefault="009D4F11" w:rsidP="009D4F11">
      <w:pPr>
        <w:spacing w:line="440" w:lineRule="exact"/>
        <w:ind w:firstLineChars="54" w:firstLine="165"/>
        <w:jc w:val="center"/>
        <w:rPr>
          <w:rFonts w:ascii="黑体" w:eastAsia="黑体" w:hAnsi="黑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737"/>
        <w:gridCol w:w="3163"/>
        <w:gridCol w:w="1650"/>
        <w:gridCol w:w="1187"/>
        <w:gridCol w:w="1225"/>
        <w:gridCol w:w="2346"/>
        <w:gridCol w:w="1128"/>
      </w:tblGrid>
      <w:tr w:rsidR="009D4F11" w:rsidTr="00232973">
        <w:trPr>
          <w:trHeight w:val="744"/>
          <w:jc w:val="center"/>
        </w:trPr>
        <w:tc>
          <w:tcPr>
            <w:tcW w:w="1863" w:type="dxa"/>
            <w:vAlign w:val="center"/>
          </w:tcPr>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隐患名称</w:t>
            </w:r>
          </w:p>
        </w:tc>
        <w:tc>
          <w:tcPr>
            <w:tcW w:w="737" w:type="dxa"/>
            <w:vAlign w:val="center"/>
          </w:tcPr>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行业</w:t>
            </w:r>
          </w:p>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分类</w:t>
            </w:r>
          </w:p>
        </w:tc>
        <w:tc>
          <w:tcPr>
            <w:tcW w:w="3163" w:type="dxa"/>
            <w:vAlign w:val="center"/>
          </w:tcPr>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隐患基本情况</w:t>
            </w:r>
          </w:p>
        </w:tc>
        <w:tc>
          <w:tcPr>
            <w:tcW w:w="1650" w:type="dxa"/>
            <w:vAlign w:val="center"/>
          </w:tcPr>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治理责</w:t>
            </w:r>
          </w:p>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任单位</w:t>
            </w:r>
          </w:p>
        </w:tc>
        <w:tc>
          <w:tcPr>
            <w:tcW w:w="1187" w:type="dxa"/>
            <w:vAlign w:val="center"/>
          </w:tcPr>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属地监管</w:t>
            </w:r>
          </w:p>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责任单位</w:t>
            </w:r>
          </w:p>
        </w:tc>
        <w:tc>
          <w:tcPr>
            <w:tcW w:w="1225" w:type="dxa"/>
            <w:vAlign w:val="center"/>
          </w:tcPr>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行业督</w:t>
            </w:r>
          </w:p>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办单位</w:t>
            </w:r>
          </w:p>
        </w:tc>
        <w:tc>
          <w:tcPr>
            <w:tcW w:w="2346" w:type="dxa"/>
            <w:vAlign w:val="center"/>
          </w:tcPr>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整改时限</w:t>
            </w:r>
          </w:p>
        </w:tc>
        <w:tc>
          <w:tcPr>
            <w:tcW w:w="1128" w:type="dxa"/>
            <w:vAlign w:val="center"/>
          </w:tcPr>
          <w:p w:rsidR="009D4F11" w:rsidRDefault="009D4F11" w:rsidP="00232973">
            <w:pPr>
              <w:widowControl/>
              <w:spacing w:line="3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销号意见</w:t>
            </w:r>
          </w:p>
        </w:tc>
      </w:tr>
      <w:tr w:rsidR="009D4F11" w:rsidTr="00232973">
        <w:trPr>
          <w:trHeight w:val="2638"/>
          <w:jc w:val="center"/>
        </w:trPr>
        <w:tc>
          <w:tcPr>
            <w:tcW w:w="1863" w:type="dxa"/>
            <w:vAlign w:val="center"/>
          </w:tcPr>
          <w:p w:rsidR="009D4F11" w:rsidRDefault="009D4F11" w:rsidP="00232973">
            <w:pPr>
              <w:spacing w:line="300" w:lineRule="exact"/>
              <w:jc w:val="center"/>
              <w:rPr>
                <w:rFonts w:ascii="仿宋" w:hAnsi="仿宋" w:hint="eastAsia"/>
                <w:sz w:val="24"/>
                <w:szCs w:val="24"/>
              </w:rPr>
            </w:pPr>
            <w:r>
              <w:rPr>
                <w:rFonts w:ascii="仿宋" w:hAnsi="仿宋" w:hint="eastAsia"/>
                <w:color w:val="000000"/>
                <w:sz w:val="24"/>
                <w:szCs w:val="24"/>
              </w:rPr>
              <w:t>陕西华彬雅店煤业有限公司未按照批复建立瓦斯抽采系统和强排系统安全隐患</w:t>
            </w:r>
          </w:p>
        </w:tc>
        <w:tc>
          <w:tcPr>
            <w:tcW w:w="737" w:type="dxa"/>
            <w:vAlign w:val="center"/>
          </w:tcPr>
          <w:p w:rsidR="009D4F11" w:rsidRDefault="009D4F11" w:rsidP="00232973">
            <w:pPr>
              <w:spacing w:line="300" w:lineRule="exact"/>
              <w:jc w:val="center"/>
              <w:rPr>
                <w:rFonts w:ascii="仿宋" w:hAnsi="仿宋" w:hint="eastAsia"/>
                <w:sz w:val="24"/>
                <w:szCs w:val="24"/>
              </w:rPr>
            </w:pPr>
            <w:r>
              <w:rPr>
                <w:rFonts w:ascii="仿宋" w:hAnsi="仿宋" w:hint="eastAsia"/>
                <w:color w:val="000000"/>
                <w:sz w:val="24"/>
                <w:szCs w:val="24"/>
              </w:rPr>
              <w:t>煤矿</w:t>
            </w:r>
          </w:p>
        </w:tc>
        <w:tc>
          <w:tcPr>
            <w:tcW w:w="3163" w:type="dxa"/>
            <w:vAlign w:val="center"/>
          </w:tcPr>
          <w:p w:rsidR="009D4F11" w:rsidRDefault="009D4F11" w:rsidP="00232973">
            <w:pPr>
              <w:spacing w:line="300" w:lineRule="exact"/>
              <w:jc w:val="left"/>
              <w:rPr>
                <w:rFonts w:ascii="仿宋" w:hAnsi="仿宋" w:hint="eastAsia"/>
                <w:sz w:val="24"/>
                <w:szCs w:val="24"/>
              </w:rPr>
            </w:pPr>
            <w:r>
              <w:rPr>
                <w:rFonts w:ascii="仿宋" w:hAnsi="仿宋" w:hint="eastAsia"/>
                <w:color w:val="000000"/>
                <w:sz w:val="24"/>
                <w:szCs w:val="24"/>
              </w:rPr>
              <w:t>该矿为高瓦斯矿井，水文地质类型为复杂型，现已进入试生产，未按照批复的《雅店煤矿安全设施设计》建立瓦斯抽采系统和强排系统。</w:t>
            </w:r>
          </w:p>
        </w:tc>
        <w:tc>
          <w:tcPr>
            <w:tcW w:w="1650" w:type="dxa"/>
            <w:vAlign w:val="center"/>
          </w:tcPr>
          <w:p w:rsidR="009D4F11" w:rsidRDefault="009D4F11" w:rsidP="00232973">
            <w:pPr>
              <w:spacing w:line="300" w:lineRule="exact"/>
              <w:jc w:val="center"/>
              <w:rPr>
                <w:rFonts w:ascii="仿宋" w:hAnsi="仿宋" w:hint="eastAsia"/>
                <w:color w:val="000000"/>
                <w:sz w:val="24"/>
                <w:szCs w:val="24"/>
              </w:rPr>
            </w:pPr>
            <w:r>
              <w:rPr>
                <w:rFonts w:ascii="仿宋" w:hAnsi="仿宋" w:hint="eastAsia"/>
                <w:color w:val="000000"/>
                <w:sz w:val="24"/>
                <w:szCs w:val="24"/>
              </w:rPr>
              <w:t>陕西华彬雅店</w:t>
            </w:r>
          </w:p>
          <w:p w:rsidR="009D4F11" w:rsidRDefault="009D4F11" w:rsidP="00232973">
            <w:pPr>
              <w:spacing w:line="300" w:lineRule="exact"/>
              <w:jc w:val="center"/>
              <w:rPr>
                <w:rFonts w:ascii="仿宋" w:hAnsi="仿宋" w:hint="eastAsia"/>
                <w:sz w:val="24"/>
                <w:szCs w:val="24"/>
              </w:rPr>
            </w:pPr>
            <w:r>
              <w:rPr>
                <w:rFonts w:ascii="仿宋" w:hAnsi="仿宋" w:hint="eastAsia"/>
                <w:color w:val="000000"/>
                <w:sz w:val="24"/>
                <w:szCs w:val="24"/>
              </w:rPr>
              <w:t>煤业有限公司</w:t>
            </w:r>
          </w:p>
        </w:tc>
        <w:tc>
          <w:tcPr>
            <w:tcW w:w="1187" w:type="dxa"/>
            <w:vAlign w:val="center"/>
          </w:tcPr>
          <w:p w:rsidR="009D4F11" w:rsidRDefault="009D4F11" w:rsidP="00232973">
            <w:pPr>
              <w:spacing w:line="300" w:lineRule="exact"/>
              <w:jc w:val="center"/>
              <w:rPr>
                <w:rFonts w:ascii="仿宋" w:hAnsi="仿宋" w:hint="eastAsia"/>
                <w:color w:val="000000"/>
                <w:sz w:val="24"/>
                <w:szCs w:val="24"/>
              </w:rPr>
            </w:pPr>
            <w:r>
              <w:rPr>
                <w:rFonts w:ascii="仿宋" w:hAnsi="仿宋" w:hint="eastAsia"/>
                <w:color w:val="000000"/>
                <w:sz w:val="24"/>
                <w:szCs w:val="24"/>
              </w:rPr>
              <w:t>咸阳市</w:t>
            </w:r>
          </w:p>
          <w:p w:rsidR="009D4F11" w:rsidRDefault="009D4F11" w:rsidP="00232973">
            <w:pPr>
              <w:spacing w:line="300" w:lineRule="exact"/>
              <w:jc w:val="center"/>
              <w:rPr>
                <w:rFonts w:ascii="仿宋" w:hAnsi="仿宋" w:hint="eastAsia"/>
                <w:sz w:val="24"/>
                <w:szCs w:val="24"/>
              </w:rPr>
            </w:pPr>
            <w:r>
              <w:rPr>
                <w:rFonts w:ascii="仿宋" w:hAnsi="仿宋" w:hint="eastAsia"/>
                <w:color w:val="000000"/>
                <w:sz w:val="24"/>
                <w:szCs w:val="24"/>
              </w:rPr>
              <w:t>人民政府</w:t>
            </w:r>
          </w:p>
        </w:tc>
        <w:tc>
          <w:tcPr>
            <w:tcW w:w="1225" w:type="dxa"/>
            <w:vAlign w:val="center"/>
          </w:tcPr>
          <w:p w:rsidR="009D4F11" w:rsidRDefault="009D4F11" w:rsidP="00232973">
            <w:pPr>
              <w:spacing w:line="300" w:lineRule="exact"/>
              <w:jc w:val="center"/>
              <w:rPr>
                <w:rFonts w:ascii="仿宋" w:hAnsi="仿宋"/>
                <w:sz w:val="24"/>
                <w:szCs w:val="24"/>
              </w:rPr>
            </w:pPr>
            <w:r>
              <w:rPr>
                <w:rFonts w:ascii="仿宋" w:hAnsi="仿宋" w:hint="eastAsia"/>
                <w:color w:val="000000"/>
                <w:sz w:val="24"/>
                <w:szCs w:val="24"/>
              </w:rPr>
              <w:t>省应急厅</w:t>
            </w:r>
          </w:p>
        </w:tc>
        <w:tc>
          <w:tcPr>
            <w:tcW w:w="2346" w:type="dxa"/>
            <w:vAlign w:val="center"/>
          </w:tcPr>
          <w:p w:rsidR="009D4F11" w:rsidRDefault="009D4F11" w:rsidP="00232973">
            <w:pPr>
              <w:spacing w:line="300" w:lineRule="exact"/>
              <w:jc w:val="center"/>
              <w:rPr>
                <w:rFonts w:ascii="仿宋" w:hAnsi="仿宋" w:hint="eastAsia"/>
                <w:sz w:val="24"/>
                <w:szCs w:val="24"/>
              </w:rPr>
            </w:pPr>
            <w:r>
              <w:rPr>
                <w:rFonts w:ascii="仿宋" w:hAnsi="仿宋" w:hint="eastAsia"/>
                <w:color w:val="000000"/>
                <w:sz w:val="24"/>
                <w:szCs w:val="24"/>
              </w:rPr>
              <w:t>2020年9月30日前</w:t>
            </w:r>
          </w:p>
        </w:tc>
        <w:tc>
          <w:tcPr>
            <w:tcW w:w="1128" w:type="dxa"/>
            <w:vAlign w:val="center"/>
          </w:tcPr>
          <w:p w:rsidR="009D4F11" w:rsidRDefault="009D4F11" w:rsidP="00232973">
            <w:pPr>
              <w:spacing w:line="340" w:lineRule="exact"/>
              <w:jc w:val="center"/>
              <w:rPr>
                <w:rFonts w:ascii="仿宋" w:hAnsi="仿宋" w:hint="eastAsia"/>
                <w:sz w:val="24"/>
                <w:szCs w:val="24"/>
              </w:rPr>
            </w:pPr>
            <w:r>
              <w:rPr>
                <w:rFonts w:ascii="仿宋" w:hAnsi="仿宋" w:hint="eastAsia"/>
                <w:sz w:val="24"/>
                <w:szCs w:val="24"/>
              </w:rPr>
              <w:t>同意销号</w:t>
            </w:r>
          </w:p>
        </w:tc>
      </w:tr>
    </w:tbl>
    <w:p w:rsidR="009D4F11" w:rsidRDefault="009D4F11" w:rsidP="009D4F11">
      <w:pPr>
        <w:tabs>
          <w:tab w:val="left" w:pos="5928"/>
          <w:tab w:val="left" w:pos="6240"/>
        </w:tabs>
        <w:rPr>
          <w:rFonts w:ascii="宋体" w:eastAsia="宋体" w:hAnsi="宋体" w:hint="eastAsia"/>
          <w:sz w:val="24"/>
          <w:szCs w:val="24"/>
        </w:rPr>
        <w:sectPr w:rsidR="009D4F11">
          <w:footerReference w:type="even" r:id="rId4"/>
          <w:footerReference w:type="default" r:id="rId5"/>
          <w:pgSz w:w="16838" w:h="11906" w:orient="landscape"/>
          <w:pgMar w:top="1701" w:right="1587" w:bottom="850" w:left="1587" w:header="851" w:footer="907" w:gutter="0"/>
          <w:pgNumType w:fmt="numberInDash"/>
          <w:cols w:space="720"/>
          <w:docGrid w:type="linesAndChars" w:linePitch="596" w:charSpace="-3080"/>
        </w:sectPr>
      </w:pPr>
      <w:bookmarkStart w:id="0" w:name="_GoBack"/>
      <w:bookmarkEnd w:id="0"/>
    </w:p>
    <w:p w:rsidR="00083D7B" w:rsidRDefault="00083D7B"/>
    <w:sectPr w:rsidR="00083D7B" w:rsidSect="009D4F11">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D4F11">
    <w:pPr>
      <w:pStyle w:val="a3"/>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D4F11">
                          <w:pPr>
                            <w:pStyle w:val="a3"/>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053636">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" filled="f" stroked="f">
              <v:textbox style="mso-fit-shape-to-text:t" inset="0,0,0,0">
                <w:txbxContent>
                  <w:p w:rsidR="00000000" w:rsidRDefault="009D4F11">
                    <w:pPr>
                      <w:pStyle w:val="a3"/>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053636">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D4F1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D4F11">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w:instrText>
                          </w:r>
                          <w:r>
                            <w:rPr>
                              <w:rFonts w:ascii="宋体" w:eastAsia="宋体" w:hAnsi="宋体" w:cs="宋体" w:hint="eastAsia"/>
                              <w:sz w:val="28"/>
                              <w:szCs w:val="28"/>
                            </w:rPr>
                            <w:instrText xml:space="preserve">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Cnu2u2wAIA&#10;ALsFAAAOAAAAAAAAAAAAAAAAAC4CAABkcnMvZTJvRG9jLnhtbFBLAQItABQABgAIAAAAIQAMSvDu&#10;1gAAAAUBAAAPAAAAAAAAAAAAAAAAABoFAABkcnMvZG93bnJldi54bWxQSwUGAAAAAAQABADzAAAA&#10;HQYAAAAA&#10;" filled="f" stroked="f">
              <v:textbox style="mso-fit-shape-to-text:t" inset="0,0,0,0">
                <w:txbxContent>
                  <w:p w:rsidR="00000000" w:rsidRDefault="009D4F11">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w:instrText>
                    </w:r>
                    <w:r>
                      <w:rPr>
                        <w:rFonts w:ascii="宋体" w:eastAsia="宋体" w:hAnsi="宋体" w:cs="宋体" w:hint="eastAsia"/>
                        <w:sz w:val="28"/>
                        <w:szCs w:val="28"/>
                      </w:rPr>
                      <w:instrText xml:space="preserve">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1"/>
    <w:rsid w:val="00083D7B"/>
    <w:rsid w:val="009D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0CD600-46ED-43BB-AC4A-66EB7744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F11"/>
    <w:pPr>
      <w:widowControl w:val="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D4F11"/>
    <w:rPr>
      <w:rFonts w:eastAsia="仿宋_GB2312"/>
      <w:sz w:val="18"/>
      <w:szCs w:val="18"/>
    </w:rPr>
  </w:style>
  <w:style w:type="paragraph" w:styleId="a3">
    <w:name w:val="footer"/>
    <w:basedOn w:val="a"/>
    <w:link w:val="Char"/>
    <w:uiPriority w:val="99"/>
    <w:rsid w:val="009D4F11"/>
    <w:pPr>
      <w:tabs>
        <w:tab w:val="center" w:pos="4153"/>
        <w:tab w:val="right" w:pos="8306"/>
      </w:tabs>
      <w:snapToGrid w:val="0"/>
      <w:jc w:val="left"/>
    </w:pPr>
    <w:rPr>
      <w:rFonts w:asciiTheme="minorHAnsi" w:eastAsia="仿宋_GB2312" w:hAnsiTheme="minorHAnsi" w:cstheme="minorBidi"/>
      <w:sz w:val="18"/>
      <w:szCs w:val="18"/>
    </w:rPr>
  </w:style>
  <w:style w:type="character" w:customStyle="1" w:styleId="Char1">
    <w:name w:val="页脚 Char1"/>
    <w:basedOn w:val="a0"/>
    <w:uiPriority w:val="99"/>
    <w:semiHidden/>
    <w:rsid w:val="009D4F11"/>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Words>
  <Characters>195</Characters>
  <Application>Microsoft Office Word</Application>
  <DocSecurity>0</DocSecurity>
  <Lines>1</Lines>
  <Paragraphs>1</Paragraphs>
  <ScaleCrop>false</ScaleCrop>
  <Company>MS</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2020-09-29T01:31:00Z</dcterms:created>
  <dcterms:modified xsi:type="dcterms:W3CDTF">2020-09-29T01:32:00Z</dcterms:modified>
</cp:coreProperties>
</file>