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ascii="黑体" w:eastAsia="黑体"/>
          <w:color w:val="000000"/>
        </w:rPr>
      </w:pPr>
      <w:r>
        <w:rPr>
          <w:rFonts w:ascii="黑体" w:eastAsia="黑体"/>
          <w:color w:val="000000"/>
        </w:rPr>
        <w:t>附件</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color w:val="00000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cs="仿宋_GB2312"/>
          <w:bCs/>
          <w:color w:val="000000"/>
          <w:sz w:val="44"/>
          <w:szCs w:val="44"/>
        </w:rPr>
      </w:pPr>
      <w:bookmarkStart w:id="0" w:name="_GoBack"/>
      <w:r>
        <w:rPr>
          <w:rFonts w:hint="eastAsia" w:ascii="方正小标宋简体" w:eastAsia="方正小标宋简体" w:cs="仿宋_GB2312"/>
          <w:bCs/>
          <w:color w:val="000000"/>
          <w:sz w:val="44"/>
          <w:szCs w:val="44"/>
        </w:rPr>
        <w:t>中国石油长庆油田分公司第六采气厂安全生产管理机构和管理人员类等违法行政处罚信息</w:t>
      </w:r>
    </w:p>
    <w:bookmarkEnd w:id="0"/>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outlineLvl w:val="9"/>
        <w:rPr>
          <w:color w:val="000000"/>
        </w:rPr>
      </w:pPr>
    </w:p>
    <w:tbl>
      <w:tblPr>
        <w:tblStyle w:val="15"/>
        <w:tblW w:w="10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7"/>
        <w:gridCol w:w="2784"/>
        <w:gridCol w:w="6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697" w:type="dxa"/>
            <w:tcBorders>
              <w:top w:val="single" w:color="333333" w:sz="6" w:space="0"/>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黑体" w:eastAsia="黑体" w:cs="黑体"/>
                <w:bCs/>
                <w:color w:val="000000"/>
                <w:szCs w:val="24"/>
              </w:rPr>
            </w:pPr>
            <w:r>
              <w:rPr>
                <w:rStyle w:val="17"/>
                <w:rFonts w:hint="eastAsia" w:ascii="黑体" w:eastAsia="黑体" w:cs="黑体"/>
                <w:b w:val="0"/>
                <w:bCs/>
                <w:color w:val="000000"/>
                <w:szCs w:val="24"/>
              </w:rPr>
              <w:t>序号</w:t>
            </w:r>
          </w:p>
        </w:tc>
        <w:tc>
          <w:tcPr>
            <w:tcW w:w="2784" w:type="dxa"/>
            <w:tcBorders>
              <w:top w:val="single" w:color="333333" w:sz="6" w:space="0"/>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黑体" w:eastAsia="黑体" w:cs="黑体"/>
                <w:bCs/>
                <w:color w:val="000000"/>
                <w:szCs w:val="24"/>
              </w:rPr>
            </w:pPr>
            <w:r>
              <w:rPr>
                <w:rStyle w:val="17"/>
                <w:rFonts w:hint="eastAsia" w:ascii="黑体" w:eastAsia="黑体" w:cs="黑体"/>
                <w:b w:val="0"/>
                <w:bCs/>
                <w:color w:val="000000"/>
                <w:szCs w:val="24"/>
              </w:rPr>
              <w:t>要素</w:t>
            </w:r>
          </w:p>
        </w:tc>
        <w:tc>
          <w:tcPr>
            <w:tcW w:w="6718" w:type="dxa"/>
            <w:tcBorders>
              <w:top w:val="single" w:color="333333" w:sz="6" w:space="0"/>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黑体" w:eastAsia="黑体" w:cs="黑体"/>
                <w:bCs/>
                <w:color w:val="000000"/>
                <w:szCs w:val="24"/>
              </w:rPr>
            </w:pPr>
            <w:r>
              <w:rPr>
                <w:rStyle w:val="17"/>
                <w:rFonts w:hint="eastAsia" w:ascii="黑体" w:eastAsia="黑体" w:cs="黑体"/>
                <w:b w:val="0"/>
                <w:bCs/>
                <w:color w:val="000000"/>
                <w:szCs w:val="24"/>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97" w:type="dxa"/>
            <w:tcBorders>
              <w:top w:val="nil"/>
              <w:left w:val="single" w:color="333333" w:sz="6" w:space="0"/>
              <w:bottom w:val="single" w:color="auto"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1</w:t>
            </w:r>
          </w:p>
        </w:tc>
        <w:tc>
          <w:tcPr>
            <w:tcW w:w="2784" w:type="dxa"/>
            <w:tcBorders>
              <w:top w:val="nil"/>
              <w:left w:val="nil"/>
              <w:bottom w:val="single" w:color="auto"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案由</w:t>
            </w:r>
          </w:p>
        </w:tc>
        <w:tc>
          <w:tcPr>
            <w:tcW w:w="6718" w:type="dxa"/>
            <w:tcBorders>
              <w:top w:val="nil"/>
              <w:left w:val="nil"/>
              <w:bottom w:val="single" w:color="auto"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ascii="仿宋" w:eastAsia="仿宋" w:cs="仿宋"/>
                <w:color w:val="000000"/>
                <w:szCs w:val="24"/>
              </w:rPr>
            </w:pPr>
            <w:r>
              <w:rPr>
                <w:rFonts w:hint="eastAsia" w:ascii="仿宋" w:eastAsia="仿宋" w:cs="仿宋"/>
                <w:color w:val="000000"/>
                <w:szCs w:val="24"/>
              </w:rPr>
              <w:t>安全生产管理机构和管理人员类等违法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2</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案件名称</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left"/>
              <w:rPr>
                <w:rFonts w:hint="eastAsia" w:ascii="仿宋" w:eastAsia="仿宋" w:cs="仿宋"/>
                <w:color w:val="000000"/>
                <w:szCs w:val="24"/>
              </w:rPr>
            </w:pPr>
            <w:r>
              <w:rPr>
                <w:rFonts w:hint="eastAsia" w:ascii="仿宋" w:eastAsia="仿宋" w:cs="仿宋"/>
                <w:color w:val="000000"/>
                <w:szCs w:val="24"/>
              </w:rPr>
              <w:t>中国石油长庆油田分公司第六采气厂安全生产管理人员无证上岗、安全生产管理协议缺失或者手续不全、未及时修订应急预案案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3</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做出处罚决定机关名称</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陕西省应急管理厅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4</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处罚决定书文号</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lang w:eastAsia="zh-CN"/>
              </w:rPr>
            </w:pPr>
            <w:r>
              <w:rPr>
                <w:rFonts w:hint="eastAsia" w:ascii="仿宋" w:eastAsia="仿宋" w:cs="仿宋"/>
                <w:color w:val="000000"/>
                <w:szCs w:val="24"/>
                <w:lang w:eastAsia="zh-CN"/>
              </w:rPr>
              <w:t>（陕）应急罚〔2022〕WH001号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5</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做出处罚决定日期</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2022年</w:t>
            </w:r>
            <w:r>
              <w:rPr>
                <w:rFonts w:hint="eastAsia" w:ascii="仿宋" w:eastAsia="仿宋" w:cs="仿宋"/>
                <w:color w:val="000000"/>
                <w:szCs w:val="24"/>
                <w:lang w:val="en-US" w:eastAsia="zh-CN"/>
              </w:rPr>
              <w:t>8</w:t>
            </w:r>
            <w:r>
              <w:rPr>
                <w:rFonts w:hint="eastAsia" w:ascii="仿宋" w:eastAsia="仿宋" w:cs="仿宋"/>
                <w:color w:val="000000"/>
                <w:szCs w:val="24"/>
              </w:rPr>
              <w:t>月</w:t>
            </w:r>
            <w:r>
              <w:rPr>
                <w:rFonts w:hint="eastAsia" w:ascii="仿宋" w:eastAsia="仿宋" w:cs="仿宋"/>
                <w:color w:val="000000"/>
                <w:szCs w:val="24"/>
                <w:lang w:val="en-US" w:eastAsia="zh-CN"/>
              </w:rPr>
              <w:t>30</w:t>
            </w:r>
            <w:r>
              <w:rPr>
                <w:rFonts w:hint="eastAsia" w:ascii="仿宋" w:eastAsia="仿宋" w:cs="仿宋"/>
                <w:color w:val="000000"/>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6</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被处罚行政相对人名称</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中国石油长庆油田分公司第六采气厂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7</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被处罚行政相对人地址</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lang w:eastAsia="zh-CN"/>
              </w:rPr>
            </w:pPr>
            <w:r>
              <w:rPr>
                <w:rFonts w:hint="eastAsia" w:ascii="仿宋" w:eastAsia="仿宋" w:cs="仿宋"/>
                <w:color w:val="000000"/>
                <w:szCs w:val="24"/>
                <w:lang w:eastAsia="zh-CN"/>
              </w:rPr>
              <w:t>陕西省延安市宝塔区河庄坪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8</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被处罚行政相对人</w:t>
            </w:r>
          </w:p>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法定代表人姓名</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ascii="仿宋" w:eastAsia="仿宋" w:cs="仿宋"/>
                <w:color w:val="000000"/>
                <w:szCs w:val="24"/>
                <w:lang w:val="en-US" w:eastAsia="zh-CN"/>
              </w:rPr>
            </w:pPr>
            <w:r>
              <w:rPr>
                <w:rFonts w:hint="eastAsia" w:ascii="仿宋" w:eastAsia="仿宋" w:cs="仿宋"/>
                <w:color w:val="000000"/>
                <w:szCs w:val="24"/>
                <w:lang w:val="en-US" w:eastAsia="zh-CN"/>
              </w:rPr>
              <w:t>王虎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9</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被处罚行政相对人统一社会信用代码或身份证号码</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ascii="仿宋" w:eastAsia="仿宋" w:cs="仿宋"/>
                <w:color w:val="000000"/>
                <w:szCs w:val="24"/>
                <w:lang w:val="en-US" w:eastAsia="zh-CN"/>
              </w:rPr>
            </w:pPr>
            <w:r>
              <w:rPr>
                <w:rFonts w:hint="eastAsia" w:ascii="仿宋" w:eastAsia="仿宋" w:cs="仿宋"/>
                <w:color w:val="000000"/>
                <w:szCs w:val="24"/>
                <w:lang w:val="en-US" w:eastAsia="zh-CN"/>
              </w:rPr>
              <w:t>91610000074514146U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10</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违法事实</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both"/>
              <w:rPr>
                <w:rFonts w:hint="eastAsia" w:ascii="仿宋" w:eastAsia="仿宋" w:cs="仿宋"/>
                <w:color w:val="000000"/>
                <w:szCs w:val="24"/>
              </w:rPr>
            </w:pPr>
            <w:r>
              <w:rPr>
                <w:rFonts w:hint="eastAsia" w:ascii="仿宋" w:eastAsia="仿宋" w:cs="仿宋"/>
                <w:color w:val="000000"/>
                <w:szCs w:val="24"/>
              </w:rPr>
              <w:t>1.安全生产管理人员无证上岗；2.承包单位作业安全准入评估、审批过程不严谨，安全生产管理协议缺失或者手续不全；3.未及时修订应急预案。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11</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违法依据</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both"/>
              <w:rPr>
                <w:rFonts w:hint="eastAsia" w:ascii="仿宋" w:eastAsia="仿宋" w:cs="仿宋"/>
                <w:color w:val="000000"/>
                <w:szCs w:val="24"/>
                <w:lang w:eastAsia="zh-CN"/>
              </w:rPr>
            </w:pPr>
            <w:r>
              <w:rPr>
                <w:rFonts w:hint="eastAsia" w:ascii="仿宋" w:eastAsia="仿宋" w:cs="仿宋"/>
                <w:color w:val="000000"/>
                <w:szCs w:val="24"/>
              </w:rPr>
              <w:t>《安全生产法》第二十七条、第四十九条和《生产安全事故应急预案管理办法》第三十六条第一款</w:t>
            </w:r>
            <w:r>
              <w:rPr>
                <w:rFonts w:hint="eastAsia" w:ascii="仿宋" w:eastAsia="仿宋" w:cs="仿宋"/>
                <w:color w:val="000000"/>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12</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处罚依据</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both"/>
              <w:rPr>
                <w:rFonts w:hint="eastAsia" w:ascii="仿宋" w:eastAsia="仿宋" w:cs="仿宋"/>
                <w:color w:val="000000"/>
                <w:szCs w:val="24"/>
                <w:lang w:eastAsia="zh-CN"/>
              </w:rPr>
            </w:pPr>
            <w:r>
              <w:rPr>
                <w:rFonts w:hint="eastAsia" w:ascii="仿宋" w:eastAsia="仿宋" w:cs="仿宋"/>
                <w:color w:val="000000"/>
                <w:szCs w:val="24"/>
              </w:rPr>
              <w:t>《安全生产法》第九十七条第二款、第一百零三条和《生产安全事故应急预案管理办法》第四十五条第五款</w:t>
            </w:r>
            <w:r>
              <w:rPr>
                <w:rFonts w:hint="eastAsia" w:ascii="仿宋" w:eastAsia="仿宋" w:cs="仿宋"/>
                <w:color w:val="000000"/>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97" w:type="dxa"/>
            <w:tcBorders>
              <w:top w:val="nil"/>
              <w:left w:val="single" w:color="333333" w:sz="6" w:space="0"/>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13</w:t>
            </w:r>
          </w:p>
        </w:tc>
        <w:tc>
          <w:tcPr>
            <w:tcW w:w="2784" w:type="dxa"/>
            <w:tcBorders>
              <w:top w:val="nil"/>
              <w:left w:val="nil"/>
              <w:bottom w:val="single" w:color="333333" w:sz="6" w:space="0"/>
              <w:right w:val="single" w:color="333333"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eastAsia="仿宋" w:cs="仿宋"/>
                <w:color w:val="000000"/>
                <w:szCs w:val="24"/>
              </w:rPr>
              <w:t>处罚结果</w:t>
            </w:r>
          </w:p>
        </w:tc>
        <w:tc>
          <w:tcPr>
            <w:tcW w:w="6718" w:type="dxa"/>
            <w:tcBorders>
              <w:top w:val="nil"/>
              <w:left w:val="nil"/>
              <w:bottom w:val="single" w:color="333333" w:sz="6" w:space="0"/>
              <w:right w:val="single" w:color="auto" w:sz="6" w:space="0"/>
            </w:tcBorders>
            <w:noWrap/>
            <w:tcMar>
              <w:top w:w="28" w:type="dxa"/>
              <w:left w:w="28" w:type="dxa"/>
              <w:bottom w:w="28" w:type="dxa"/>
              <w:right w:w="28" w:type="dxa"/>
            </w:tcMar>
            <w:vAlign w:val="center"/>
          </w:tcPr>
          <w:p>
            <w:pPr>
              <w:pStyle w:val="14"/>
              <w:widowControl/>
              <w:spacing w:before="0" w:beforeAutospacing="0" w:after="0" w:afterAutospacing="0" w:line="0" w:lineRule="atLeast"/>
              <w:jc w:val="center"/>
              <w:rPr>
                <w:rFonts w:hint="eastAsia" w:ascii="仿宋" w:eastAsia="仿宋" w:cs="仿宋"/>
                <w:color w:val="000000"/>
                <w:szCs w:val="24"/>
              </w:rPr>
            </w:pPr>
            <w:r>
              <w:rPr>
                <w:rFonts w:hint="eastAsia" w:ascii="仿宋" w:cs="仿宋"/>
                <w:color w:val="000000"/>
                <w:szCs w:val="24"/>
                <w:lang w:val="en-US" w:eastAsia="zh-CN"/>
              </w:rPr>
              <w:t>处</w:t>
            </w:r>
            <w:r>
              <w:rPr>
                <w:rFonts w:hint="eastAsia" w:ascii="仿宋" w:eastAsia="仿宋" w:cs="仿宋"/>
                <w:color w:val="000000"/>
                <w:szCs w:val="24"/>
                <w:lang w:val="en-US" w:eastAsia="zh-CN"/>
              </w:rPr>
              <w:t>人民币玖万伍仟元</w:t>
            </w:r>
            <w:r>
              <w:rPr>
                <w:rFonts w:hint="eastAsia" w:ascii="仿宋" w:cs="仿宋"/>
                <w:color w:val="000000"/>
                <w:szCs w:val="24"/>
                <w:lang w:val="en-US" w:eastAsia="zh-CN"/>
              </w:rPr>
              <w:t>罚款</w:t>
            </w:r>
            <w:r>
              <w:rPr>
                <w:rFonts w:hint="eastAsia" w:ascii="仿宋" w:eastAsia="仿宋" w:cs="仿宋"/>
                <w:color w:val="000000"/>
                <w:szCs w:val="24"/>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after="0"/>
        <w:textAlignment w:val="auto"/>
        <w:rPr>
          <w:color w:val="000000"/>
        </w:rPr>
      </w:pPr>
    </w:p>
    <w:sectPr>
      <w:type w:val="continuous"/>
      <w:pgSz w:w="11906" w:h="16838"/>
      <w:pgMar w:top="1701" w:right="1587" w:bottom="1587" w:left="1587" w:header="851" w:footer="992" w:gutter="0"/>
      <w:pgNumType w:fmt="numberInDash"/>
      <w:cols w:space="720" w:num="1"/>
      <w:rtlGutter w:val="1"/>
      <w:docGrid w:type="linesAndChars" w:linePitch="615"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Luxi Sans">
    <w:altName w:val="Lucida Sans"/>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3" w:usb1="00000000" w:usb2="00000000" w:usb3="00000000" w:csb0="200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56"/>
  <w:drawingGridVerticalSpacing w:val="308"/>
  <w:displayHorizontalDrawingGridEvery w:val="2"/>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2JjOGNhNmUxOGMzMWY2NzBiYWU4YmE3ZTEwODNiODIifQ=="/>
  </w:docVars>
  <w:rsids>
    <w:rsidRoot w:val="00000000"/>
    <w:rsid w:val="07A10EF7"/>
    <w:rsid w:val="1EB26468"/>
    <w:rsid w:val="2C7F0C0D"/>
    <w:rsid w:val="2F0C6CAE"/>
    <w:rsid w:val="39902179"/>
    <w:rsid w:val="39C26FC1"/>
    <w:rsid w:val="55D01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Salutation"/>
    <w:basedOn w:val="1"/>
    <w:next w:val="1"/>
    <w:qFormat/>
    <w:uiPriority w:val="0"/>
    <w:rPr>
      <w:rFonts w:ascii="宋体" w:eastAsia="宋体" w:cs="宋体"/>
      <w:sz w:val="24"/>
    </w:rPr>
  </w:style>
  <w:style w:type="paragraph" w:styleId="7">
    <w:name w:val="toc 5"/>
    <w:basedOn w:val="1"/>
    <w:next w:val="1"/>
    <w:qFormat/>
    <w:uiPriority w:val="0"/>
    <w:pPr>
      <w:ind w:left="1680"/>
    </w:pPr>
  </w:style>
  <w:style w:type="paragraph" w:styleId="8">
    <w:name w:val="toc 3"/>
    <w:basedOn w:val="1"/>
    <w:next w:val="1"/>
    <w:qFormat/>
    <w:uiPriority w:val="0"/>
    <w:pPr>
      <w:ind w:left="840"/>
    </w:pPr>
  </w:style>
  <w:style w:type="paragraph" w:styleId="9">
    <w:name w:val="footer"/>
    <w:basedOn w:val="1"/>
    <w:qFormat/>
    <w:uiPriority w:val="0"/>
    <w:pPr>
      <w:tabs>
        <w:tab w:val="center" w:pos="4153"/>
        <w:tab w:val="right" w:pos="8307"/>
      </w:tabs>
      <w:snapToGrid w:val="0"/>
      <w:jc w:val="left"/>
    </w:pPr>
    <w:rPr>
      <w:sz w:val="18"/>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character" w:styleId="17">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690</Words>
  <Characters>783</Characters>
  <Lines>76</Lines>
  <Paragraphs>54</Paragraphs>
  <TotalTime>25</TotalTime>
  <ScaleCrop>false</ScaleCrop>
  <LinksUpToDate>false</LinksUpToDate>
  <CharactersWithSpaces>825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2022-03-14T06:45:00Z</dcterms:created>
  <dc:creator>王婷</dc:creator>
  <cp:lastModifiedBy>安之若素i</cp:lastModifiedBy>
  <dcterms:modified xsi:type="dcterms:W3CDTF">2022-09-09T08:45:50Z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52A8A06A67BF498584AB5EFA402ADBF7</vt:lpwstr>
  </property>
</Properties>
</file>