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bidi="ar"/>
        </w:rPr>
        <w:t>附件</w:t>
      </w:r>
      <w:r>
        <w:rPr>
          <w:rFonts w:hint="eastAsia" w:ascii="黑体" w:hAnsi="黑体" w:eastAsia="黑体" w:cs="黑体"/>
          <w:color w:val="000000"/>
          <w:kern w:val="0"/>
          <w:sz w:val="32"/>
          <w:szCs w:val="32"/>
          <w:lang w:val="en-US" w:eastAsia="zh-CN" w:bidi="ar"/>
        </w:rPr>
        <w:t>2</w:t>
      </w:r>
    </w:p>
    <w:p>
      <w:pPr>
        <w:widowControl/>
        <w:spacing w:line="6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煤矿安全生产违法违规行为行政处罚信息表</w:t>
      </w:r>
    </w:p>
    <w:tbl>
      <w:tblPr>
        <w:tblStyle w:val="6"/>
        <w:tblW w:w="8839" w:type="dxa"/>
        <w:jc w:val="center"/>
        <w:tblInd w:w="0" w:type="dxa"/>
        <w:tblLayout w:type="fixed"/>
        <w:tblCellMar>
          <w:top w:w="0" w:type="dxa"/>
          <w:left w:w="0" w:type="dxa"/>
          <w:bottom w:w="0" w:type="dxa"/>
          <w:right w:w="0" w:type="dxa"/>
        </w:tblCellMar>
      </w:tblPr>
      <w:tblGrid>
        <w:gridCol w:w="545"/>
        <w:gridCol w:w="2750"/>
        <w:gridCol w:w="5544"/>
      </w:tblGrid>
      <w:tr>
        <w:tblPrEx>
          <w:tblLayout w:type="fixed"/>
          <w:tblCellMar>
            <w:top w:w="0" w:type="dxa"/>
            <w:left w:w="0" w:type="dxa"/>
            <w:bottom w:w="0" w:type="dxa"/>
            <w:right w:w="0" w:type="dxa"/>
          </w:tblCellMar>
        </w:tblPrEx>
        <w:trPr>
          <w:trHeight w:val="465" w:hRule="atLeast"/>
          <w:jc w:val="center"/>
        </w:trPr>
        <w:tc>
          <w:tcPr>
            <w:tcW w:w="545" w:type="dxa"/>
            <w:tcBorders>
              <w:top w:val="single" w:color="333333" w:sz="6" w:space="0"/>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黑体" w:hAnsi="黑体" w:eastAsia="黑体" w:cs="黑体"/>
                <w:bCs/>
                <w:color w:val="000000"/>
                <w:sz w:val="18"/>
                <w:szCs w:val="18"/>
              </w:rPr>
            </w:pPr>
            <w:r>
              <w:rPr>
                <w:rStyle w:val="8"/>
                <w:rFonts w:hint="eastAsia" w:ascii="黑体" w:hAnsi="黑体" w:eastAsia="黑体" w:cs="黑体"/>
                <w:b w:val="0"/>
                <w:bCs/>
                <w:color w:val="000000"/>
                <w:sz w:val="18"/>
                <w:szCs w:val="18"/>
              </w:rPr>
              <w:t>序号</w:t>
            </w:r>
          </w:p>
        </w:tc>
        <w:tc>
          <w:tcPr>
            <w:tcW w:w="2750" w:type="dxa"/>
            <w:tcBorders>
              <w:top w:val="single" w:color="333333" w:sz="6" w:space="0"/>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黑体" w:hAnsi="黑体" w:eastAsia="黑体" w:cs="黑体"/>
                <w:bCs/>
                <w:color w:val="000000"/>
                <w:sz w:val="18"/>
                <w:szCs w:val="18"/>
              </w:rPr>
            </w:pPr>
            <w:r>
              <w:rPr>
                <w:rStyle w:val="8"/>
                <w:rFonts w:hint="eastAsia" w:ascii="黑体" w:hAnsi="黑体" w:eastAsia="黑体" w:cs="黑体"/>
                <w:b w:val="0"/>
                <w:bCs/>
                <w:color w:val="000000"/>
                <w:sz w:val="18"/>
                <w:szCs w:val="18"/>
              </w:rPr>
              <w:t>要素</w:t>
            </w:r>
          </w:p>
        </w:tc>
        <w:tc>
          <w:tcPr>
            <w:tcW w:w="5544" w:type="dxa"/>
            <w:tcBorders>
              <w:top w:val="single" w:color="333333" w:sz="6" w:space="0"/>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黑体" w:hAnsi="黑体" w:eastAsia="黑体" w:cs="黑体"/>
                <w:bCs/>
                <w:color w:val="000000"/>
                <w:sz w:val="18"/>
                <w:szCs w:val="18"/>
              </w:rPr>
            </w:pPr>
            <w:r>
              <w:rPr>
                <w:rStyle w:val="8"/>
                <w:rFonts w:hint="eastAsia" w:ascii="黑体" w:hAnsi="黑体" w:eastAsia="黑体" w:cs="黑体"/>
                <w:b w:val="0"/>
                <w:bCs/>
                <w:color w:val="000000"/>
                <w:sz w:val="18"/>
                <w:szCs w:val="18"/>
              </w:rPr>
              <w:t>内容</w:t>
            </w:r>
          </w:p>
        </w:tc>
      </w:tr>
      <w:tr>
        <w:tblPrEx>
          <w:tblLayout w:type="fixed"/>
          <w:tblCellMar>
            <w:top w:w="0" w:type="dxa"/>
            <w:left w:w="0" w:type="dxa"/>
            <w:bottom w:w="0" w:type="dxa"/>
            <w:right w:w="0" w:type="dxa"/>
          </w:tblCellMar>
        </w:tblPrEx>
        <w:trPr>
          <w:trHeight w:val="301" w:hRule="atLeast"/>
          <w:jc w:val="center"/>
        </w:trPr>
        <w:tc>
          <w:tcPr>
            <w:tcW w:w="545" w:type="dxa"/>
            <w:tcBorders>
              <w:top w:val="nil"/>
              <w:left w:val="single" w:color="333333" w:sz="6" w:space="0"/>
              <w:bottom w:val="single" w:color="auto"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2750" w:type="dxa"/>
            <w:tcBorders>
              <w:top w:val="nil"/>
              <w:left w:val="nil"/>
              <w:bottom w:val="single" w:color="auto"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案由</w:t>
            </w:r>
          </w:p>
        </w:tc>
        <w:tc>
          <w:tcPr>
            <w:tcW w:w="5544" w:type="dxa"/>
            <w:tcBorders>
              <w:top w:val="nil"/>
              <w:left w:val="nil"/>
              <w:bottom w:val="single" w:color="auto" w:sz="6" w:space="0"/>
              <w:right w:val="single" w:color="auto" w:sz="6" w:space="0"/>
            </w:tcBorders>
            <w:tcMar>
              <w:top w:w="28" w:type="dxa"/>
              <w:left w:w="28" w:type="dxa"/>
              <w:bottom w:w="28" w:type="dxa"/>
              <w:right w:w="28" w:type="dxa"/>
            </w:tcMar>
            <w:vAlign w:val="center"/>
          </w:tcPr>
          <w:p>
            <w:pPr>
              <w:pStyle w:val="5"/>
              <w:widowControl/>
              <w:spacing w:line="0" w:lineRule="atLeast"/>
              <w:rPr>
                <w:rFonts w:ascii="仿宋" w:hAnsi="仿宋" w:eastAsia="仿宋" w:cs="仿宋"/>
                <w:color w:val="000000"/>
                <w:sz w:val="18"/>
                <w:szCs w:val="18"/>
              </w:rPr>
            </w:pPr>
            <w:r>
              <w:rPr>
                <w:rFonts w:hint="eastAsia" w:ascii="仿宋" w:hAnsi="仿宋" w:eastAsia="仿宋" w:cs="仿宋"/>
                <w:color w:val="000000"/>
                <w:sz w:val="18"/>
                <w:szCs w:val="18"/>
              </w:rPr>
              <w:t>陕西延长石油巴拉素煤业有限公司2101综采工作面移变列车型号MCP1X1+1X1配电电控箱电缆密封圈与电缆间使用防水胶带缠绕，属于“失爆”等违法违规案。</w:t>
            </w:r>
          </w:p>
        </w:tc>
      </w:tr>
      <w:tr>
        <w:tblPrEx>
          <w:tblLayout w:type="fixed"/>
          <w:tblCellMar>
            <w:top w:w="0" w:type="dxa"/>
            <w:left w:w="0" w:type="dxa"/>
            <w:bottom w:w="0" w:type="dxa"/>
            <w:right w:w="0" w:type="dxa"/>
          </w:tblCellMar>
        </w:tblPrEx>
        <w:trPr>
          <w:trHeight w:val="345"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案件名称</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rPr>
                <w:rFonts w:ascii="仿宋" w:hAnsi="仿宋" w:eastAsia="仿宋" w:cs="仿宋"/>
                <w:color w:val="000000"/>
                <w:sz w:val="18"/>
                <w:szCs w:val="18"/>
              </w:rPr>
            </w:pPr>
            <w:r>
              <w:rPr>
                <w:rFonts w:hint="eastAsia" w:ascii="仿宋" w:hAnsi="仿宋" w:eastAsia="仿宋" w:cs="仿宋"/>
                <w:color w:val="000000"/>
                <w:sz w:val="18"/>
                <w:szCs w:val="18"/>
              </w:rPr>
              <w:t>陕西延长石油巴拉素煤业有限公司2101综采工作面移变列车型号MCP1X1+1X1配电电控箱电缆密封圈与电缆间使用防水胶带缠绕，属于“失爆”等违法违规案。</w:t>
            </w:r>
          </w:p>
        </w:tc>
      </w:tr>
      <w:tr>
        <w:tblPrEx>
          <w:tblLayout w:type="fixed"/>
          <w:tblCellMar>
            <w:top w:w="0" w:type="dxa"/>
            <w:left w:w="0" w:type="dxa"/>
            <w:bottom w:w="0" w:type="dxa"/>
            <w:right w:w="0" w:type="dxa"/>
          </w:tblCellMar>
        </w:tblPrEx>
        <w:trPr>
          <w:trHeight w:val="321"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做出处罚决定机关名称</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陕西省应急管理厅</w:t>
            </w:r>
          </w:p>
        </w:tc>
      </w:tr>
      <w:tr>
        <w:tblPrEx>
          <w:tblLayout w:type="fixed"/>
          <w:tblCellMar>
            <w:top w:w="0" w:type="dxa"/>
            <w:left w:w="0" w:type="dxa"/>
            <w:bottom w:w="0" w:type="dxa"/>
            <w:right w:w="0" w:type="dxa"/>
          </w:tblCellMar>
        </w:tblPrEx>
        <w:trPr>
          <w:trHeight w:val="393"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处罚决定书文号</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陕</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应急</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煤安罚〔2023〕21004号</w:t>
            </w:r>
          </w:p>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陕</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应急</w:t>
            </w:r>
            <w:r>
              <w:rPr>
                <w:rFonts w:hint="eastAsia" w:ascii="仿宋" w:hAnsi="仿宋" w:eastAsia="仿宋" w:cs="仿宋"/>
                <w:color w:val="000000"/>
                <w:sz w:val="18"/>
                <w:szCs w:val="18"/>
                <w:lang w:eastAsia="zh-CN"/>
              </w:rPr>
              <w:t>）</w:t>
            </w:r>
            <w:r>
              <w:rPr>
                <w:rFonts w:hint="eastAsia" w:ascii="仿宋" w:hAnsi="仿宋" w:eastAsia="仿宋" w:cs="仿宋"/>
                <w:color w:val="000000"/>
                <w:sz w:val="18"/>
                <w:szCs w:val="18"/>
              </w:rPr>
              <w:t>煤安罚〔2023〕21005号</w:t>
            </w:r>
          </w:p>
        </w:tc>
      </w:tr>
      <w:tr>
        <w:tblPrEx>
          <w:tblLayout w:type="fixed"/>
          <w:tblCellMar>
            <w:top w:w="0" w:type="dxa"/>
            <w:left w:w="0" w:type="dxa"/>
            <w:bottom w:w="0" w:type="dxa"/>
            <w:right w:w="0" w:type="dxa"/>
          </w:tblCellMar>
        </w:tblPrEx>
        <w:trPr>
          <w:trHeight w:val="341"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做出处罚决定日期</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202</w:t>
            </w:r>
            <w:r>
              <w:rPr>
                <w:rFonts w:ascii="仿宋" w:hAnsi="仿宋" w:eastAsia="仿宋" w:cs="仿宋"/>
                <w:color w:val="000000"/>
                <w:sz w:val="18"/>
                <w:szCs w:val="18"/>
              </w:rPr>
              <w:t>3</w:t>
            </w:r>
            <w:r>
              <w:rPr>
                <w:rFonts w:hint="eastAsia" w:ascii="仿宋" w:hAnsi="仿宋" w:eastAsia="仿宋" w:cs="仿宋"/>
                <w:color w:val="000000"/>
                <w:sz w:val="18"/>
                <w:szCs w:val="18"/>
              </w:rPr>
              <w:t>年</w:t>
            </w:r>
            <w:r>
              <w:rPr>
                <w:rFonts w:ascii="仿宋" w:hAnsi="仿宋" w:eastAsia="仿宋" w:cs="仿宋"/>
                <w:color w:val="000000"/>
                <w:sz w:val="18"/>
                <w:szCs w:val="18"/>
              </w:rPr>
              <w:t>9</w:t>
            </w:r>
            <w:r>
              <w:rPr>
                <w:rFonts w:hint="eastAsia" w:ascii="仿宋" w:hAnsi="仿宋" w:eastAsia="仿宋" w:cs="仿宋"/>
                <w:color w:val="000000"/>
                <w:sz w:val="18"/>
                <w:szCs w:val="18"/>
              </w:rPr>
              <w:t>月</w:t>
            </w:r>
            <w:r>
              <w:rPr>
                <w:rFonts w:ascii="仿宋" w:hAnsi="仿宋" w:eastAsia="仿宋" w:cs="仿宋"/>
                <w:color w:val="000000"/>
                <w:sz w:val="18"/>
                <w:szCs w:val="18"/>
              </w:rPr>
              <w:t>11</w:t>
            </w:r>
            <w:r>
              <w:rPr>
                <w:rFonts w:hint="eastAsia" w:ascii="仿宋" w:hAnsi="仿宋" w:eastAsia="仿宋" w:cs="仿宋"/>
                <w:color w:val="000000"/>
                <w:sz w:val="18"/>
                <w:szCs w:val="18"/>
              </w:rPr>
              <w:t>日</w:t>
            </w:r>
          </w:p>
        </w:tc>
      </w:tr>
      <w:tr>
        <w:tblPrEx>
          <w:tblLayout w:type="fixed"/>
          <w:tblCellMar>
            <w:top w:w="0" w:type="dxa"/>
            <w:left w:w="0" w:type="dxa"/>
            <w:bottom w:w="0" w:type="dxa"/>
            <w:right w:w="0" w:type="dxa"/>
          </w:tblCellMar>
        </w:tblPrEx>
        <w:trPr>
          <w:trHeight w:val="376"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被处罚行政相对人名称</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陕西延长石油巴拉素煤业有限公司</w:t>
            </w:r>
          </w:p>
        </w:tc>
      </w:tr>
      <w:tr>
        <w:tblPrEx>
          <w:tblLayout w:type="fixed"/>
          <w:tblCellMar>
            <w:top w:w="0" w:type="dxa"/>
            <w:left w:w="0" w:type="dxa"/>
            <w:bottom w:w="0" w:type="dxa"/>
            <w:right w:w="0" w:type="dxa"/>
          </w:tblCellMar>
        </w:tblPrEx>
        <w:trPr>
          <w:trHeight w:val="359"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7</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被处罚行政相对人地址</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榆林市榆阳区巴拉素镇新庙滩村</w:t>
            </w:r>
          </w:p>
        </w:tc>
      </w:tr>
      <w:tr>
        <w:tblPrEx>
          <w:tblLayout w:type="fixed"/>
          <w:tblCellMar>
            <w:top w:w="0" w:type="dxa"/>
            <w:left w:w="0" w:type="dxa"/>
            <w:bottom w:w="0" w:type="dxa"/>
            <w:right w:w="0" w:type="dxa"/>
          </w:tblCellMar>
        </w:tblPrEx>
        <w:trPr>
          <w:trHeight w:val="560"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被处罚行政相对人</w:t>
            </w:r>
          </w:p>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法定代表人姓名</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王春刚</w:t>
            </w:r>
          </w:p>
        </w:tc>
      </w:tr>
      <w:tr>
        <w:tblPrEx>
          <w:tblLayout w:type="fixed"/>
          <w:tblCellMar>
            <w:top w:w="0" w:type="dxa"/>
            <w:left w:w="0" w:type="dxa"/>
            <w:bottom w:w="0" w:type="dxa"/>
            <w:right w:w="0" w:type="dxa"/>
          </w:tblCellMar>
        </w:tblPrEx>
        <w:trPr>
          <w:trHeight w:val="765"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9</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被处罚行政相对人统一社会信用代码或身份证号码</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ascii="仿宋" w:hAnsi="仿宋" w:eastAsia="仿宋" w:cs="仿宋"/>
                <w:color w:val="000000"/>
                <w:sz w:val="18"/>
                <w:szCs w:val="18"/>
              </w:rPr>
              <w:t>610203197202244237</w:t>
            </w:r>
          </w:p>
        </w:tc>
      </w:tr>
      <w:tr>
        <w:tblPrEx>
          <w:tblLayout w:type="fixed"/>
          <w:tblCellMar>
            <w:top w:w="0" w:type="dxa"/>
            <w:left w:w="0" w:type="dxa"/>
            <w:bottom w:w="0" w:type="dxa"/>
            <w:right w:w="0" w:type="dxa"/>
          </w:tblCellMar>
        </w:tblPrEx>
        <w:trPr>
          <w:trHeight w:val="756"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违法事实</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rPr>
                <w:rFonts w:ascii="仿宋" w:hAnsi="仿宋" w:eastAsia="仿宋" w:cs="仿宋"/>
                <w:color w:val="000000"/>
                <w:sz w:val="18"/>
                <w:szCs w:val="18"/>
              </w:rPr>
            </w:pPr>
            <w:r>
              <w:rPr>
                <w:rFonts w:hint="eastAsia" w:ascii="仿宋" w:hAnsi="仿宋" w:eastAsia="仿宋" w:cs="仿宋"/>
                <w:color w:val="000000"/>
                <w:sz w:val="18"/>
                <w:szCs w:val="18"/>
              </w:rPr>
              <w:t>1.2101综采工作面移变列车型号MCP1X1+1X1配电电控箱电缆，密封圈与电缆间使用防水胶带缠绕，属于“失爆”；2.未按安全设施设计组织施工，带式输送机大巷22盘区延伸段未掘进到位，未形成完整的运输系统，已掘进2201工作面和2202工作面回采巷道；3.矿井采用无轨胶轮车运输，2101辅运联巷和2101胶运绕道交叉口无交通管控信号灯；4.2101综采工作面运输顺槽带式输送机安设的防跑偏保护装置安设位置不当，不能正常动作；5.2201辅运顺槽掘进工作面带式输送机非行人侧设置有降尘喷雾开关，但未设置行人过桥。</w:t>
            </w:r>
          </w:p>
        </w:tc>
      </w:tr>
      <w:tr>
        <w:tblPrEx>
          <w:tblLayout w:type="fixed"/>
          <w:tblCellMar>
            <w:top w:w="0" w:type="dxa"/>
            <w:left w:w="0" w:type="dxa"/>
            <w:bottom w:w="0" w:type="dxa"/>
            <w:right w:w="0" w:type="dxa"/>
          </w:tblCellMar>
        </w:tblPrEx>
        <w:trPr>
          <w:trHeight w:val="696"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11</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违法依据</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rPr>
                <w:rFonts w:ascii="仿宋" w:hAnsi="仿宋" w:eastAsia="仿宋" w:cs="仿宋"/>
                <w:color w:val="000000"/>
                <w:sz w:val="18"/>
                <w:szCs w:val="18"/>
              </w:rPr>
            </w:pPr>
            <w:r>
              <w:rPr>
                <w:rFonts w:hint="eastAsia" w:ascii="仿宋" w:hAnsi="仿宋" w:eastAsia="仿宋" w:cs="仿宋"/>
                <w:color w:val="000000"/>
                <w:sz w:val="18"/>
                <w:szCs w:val="18"/>
              </w:rPr>
              <w:t>分别违反1</w:t>
            </w:r>
            <w:r>
              <w:rPr>
                <w:rFonts w:ascii="仿宋" w:hAnsi="仿宋" w:eastAsia="仿宋" w:cs="仿宋"/>
                <w:color w:val="000000"/>
                <w:sz w:val="18"/>
                <w:szCs w:val="18"/>
              </w:rPr>
              <w:t>.</w:t>
            </w:r>
            <w:r>
              <w:rPr>
                <w:rFonts w:hint="eastAsia" w:ascii="仿宋" w:hAnsi="仿宋" w:eastAsia="仿宋" w:cs="仿宋"/>
                <w:color w:val="000000"/>
                <w:sz w:val="18"/>
                <w:szCs w:val="18"/>
              </w:rPr>
              <w:t>《煤矿重大事故隐患判定标准》第十三条第三项、《国务院关于预防煤矿生产安全事故的特别规定》第八条第二款第十项；2</w:t>
            </w:r>
            <w:r>
              <w:rPr>
                <w:rFonts w:ascii="仿宋" w:hAnsi="仿宋" w:eastAsia="仿宋" w:cs="仿宋"/>
                <w:color w:val="000000"/>
                <w:sz w:val="18"/>
                <w:szCs w:val="18"/>
              </w:rPr>
              <w:t>.</w:t>
            </w:r>
            <w:r>
              <w:rPr>
                <w:rFonts w:hint="eastAsia" w:ascii="仿宋" w:hAnsi="仿宋" w:eastAsia="仿宋" w:cs="仿宋"/>
                <w:color w:val="000000"/>
                <w:sz w:val="18"/>
                <w:szCs w:val="18"/>
              </w:rPr>
              <w:t>《中华人民共和国安全生产法》第三十一条、第九十八条第三项；3</w:t>
            </w:r>
            <w:r>
              <w:rPr>
                <w:rFonts w:ascii="仿宋" w:hAnsi="仿宋" w:eastAsia="仿宋" w:cs="仿宋"/>
                <w:color w:val="000000"/>
                <w:sz w:val="18"/>
                <w:szCs w:val="18"/>
              </w:rPr>
              <w:t>.</w:t>
            </w:r>
            <w:r>
              <w:rPr>
                <w:rFonts w:hint="eastAsia" w:ascii="仿宋" w:hAnsi="仿宋" w:eastAsia="仿宋" w:cs="仿宋"/>
                <w:color w:val="000000"/>
                <w:sz w:val="18"/>
                <w:szCs w:val="18"/>
              </w:rPr>
              <w:t>《煤矿安全规程》第三百九十二条第八项，《中华人民共和国安全生产法》第三十六条、第九十九条第二项；4</w:t>
            </w:r>
            <w:r>
              <w:rPr>
                <w:rFonts w:ascii="仿宋" w:hAnsi="仿宋" w:eastAsia="仿宋" w:cs="仿宋"/>
                <w:color w:val="000000"/>
                <w:sz w:val="18"/>
                <w:szCs w:val="18"/>
              </w:rPr>
              <w:t>.</w:t>
            </w:r>
            <w:r>
              <w:rPr>
                <w:rFonts w:hint="eastAsia" w:ascii="仿宋" w:hAnsi="仿宋" w:eastAsia="仿宋" w:cs="仿宋"/>
                <w:color w:val="000000"/>
                <w:sz w:val="18"/>
                <w:szCs w:val="18"/>
              </w:rPr>
              <w:t>《煤矿安全规程》第三百七十四条第二项，《中华人民共和国安全生产法》第三十六条、第九十九条第二项；5</w:t>
            </w:r>
            <w:r>
              <w:rPr>
                <w:rFonts w:ascii="仿宋" w:hAnsi="仿宋" w:eastAsia="仿宋" w:cs="仿宋"/>
                <w:color w:val="000000"/>
                <w:sz w:val="18"/>
                <w:szCs w:val="18"/>
              </w:rPr>
              <w:t>.</w:t>
            </w:r>
            <w:r>
              <w:rPr>
                <w:rFonts w:hint="eastAsia" w:ascii="仿宋" w:hAnsi="仿宋" w:eastAsia="仿宋" w:cs="仿宋"/>
                <w:color w:val="000000"/>
                <w:sz w:val="18"/>
                <w:szCs w:val="18"/>
              </w:rPr>
              <w:t>《煤矿安全规程》第三百七十四条第九项，《中华人民共和国安全生产法》第三十六条、第九十九条第二项的规定。</w:t>
            </w:r>
          </w:p>
        </w:tc>
      </w:tr>
      <w:tr>
        <w:tblPrEx>
          <w:tblLayout w:type="fixed"/>
          <w:tblCellMar>
            <w:top w:w="0" w:type="dxa"/>
            <w:left w:w="0" w:type="dxa"/>
            <w:bottom w:w="0" w:type="dxa"/>
            <w:right w:w="0" w:type="dxa"/>
          </w:tblCellMar>
        </w:tblPrEx>
        <w:trPr>
          <w:trHeight w:val="1445"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处罚依据</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rPr>
                <w:rFonts w:hint="eastAsia" w:ascii="仿宋" w:hAnsi="仿宋" w:eastAsia="仿宋" w:cs="仿宋"/>
                <w:color w:val="000000"/>
                <w:sz w:val="18"/>
                <w:szCs w:val="18"/>
              </w:rPr>
            </w:pPr>
            <w:r>
              <w:rPr>
                <w:rFonts w:hint="eastAsia" w:ascii="仿宋" w:hAnsi="仿宋" w:eastAsia="仿宋" w:cs="仿宋"/>
                <w:color w:val="000000"/>
                <w:sz w:val="18"/>
                <w:szCs w:val="18"/>
              </w:rPr>
              <w:t>依据1</w:t>
            </w:r>
            <w:r>
              <w:rPr>
                <w:rFonts w:ascii="仿宋" w:hAnsi="仿宋" w:eastAsia="仿宋" w:cs="仿宋"/>
                <w:color w:val="000000"/>
                <w:sz w:val="18"/>
                <w:szCs w:val="18"/>
              </w:rPr>
              <w:t>.</w:t>
            </w:r>
            <w:r>
              <w:rPr>
                <w:rFonts w:hint="eastAsia" w:ascii="仿宋" w:hAnsi="仿宋" w:eastAsia="仿宋"/>
                <w:sz w:val="18"/>
                <w:szCs w:val="18"/>
              </w:rPr>
              <w:t>《国务院关于预防煤矿生产安全事故的特别规定》第十条第一款</w:t>
            </w:r>
            <w:r>
              <w:rPr>
                <w:rFonts w:hint="eastAsia" w:ascii="仿宋" w:hAnsi="仿宋" w:eastAsia="仿宋" w:cs="仿宋"/>
                <w:color w:val="000000"/>
                <w:sz w:val="18"/>
                <w:szCs w:val="18"/>
              </w:rPr>
              <w:t>；</w:t>
            </w:r>
            <w:r>
              <w:rPr>
                <w:rFonts w:hint="eastAsia" w:ascii="仿宋" w:hAnsi="仿宋" w:eastAsia="仿宋"/>
                <w:sz w:val="18"/>
                <w:szCs w:val="18"/>
              </w:rPr>
              <w:t>2</w:t>
            </w:r>
            <w:r>
              <w:rPr>
                <w:rFonts w:ascii="仿宋" w:hAnsi="仿宋" w:eastAsia="仿宋"/>
                <w:sz w:val="18"/>
                <w:szCs w:val="18"/>
              </w:rPr>
              <w:t>.</w:t>
            </w:r>
            <w:r>
              <w:rPr>
                <w:rFonts w:hint="eastAsia" w:ascii="仿宋" w:hAnsi="仿宋" w:eastAsia="仿宋"/>
                <w:sz w:val="18"/>
                <w:szCs w:val="18"/>
              </w:rPr>
              <w:t>中华人民共和国安全生产法》第九十八条第三项</w:t>
            </w:r>
            <w:r>
              <w:rPr>
                <w:rFonts w:hint="eastAsia" w:ascii="仿宋" w:hAnsi="仿宋" w:eastAsia="仿宋" w:cs="仿宋"/>
                <w:color w:val="000000"/>
                <w:sz w:val="18"/>
                <w:szCs w:val="18"/>
              </w:rPr>
              <w:t>；</w:t>
            </w:r>
            <w:r>
              <w:rPr>
                <w:rFonts w:hint="eastAsia" w:ascii="仿宋" w:hAnsi="仿宋" w:eastAsia="仿宋"/>
                <w:sz w:val="18"/>
                <w:szCs w:val="18"/>
              </w:rPr>
              <w:t>3</w:t>
            </w:r>
            <w:r>
              <w:rPr>
                <w:rFonts w:ascii="仿宋" w:hAnsi="仿宋" w:eastAsia="仿宋"/>
                <w:sz w:val="18"/>
                <w:szCs w:val="18"/>
              </w:rPr>
              <w:t>.</w:t>
            </w:r>
            <w:r>
              <w:rPr>
                <w:rFonts w:hint="eastAsia" w:ascii="仿宋" w:hAnsi="仿宋" w:eastAsia="仿宋"/>
                <w:sz w:val="18"/>
                <w:szCs w:val="18"/>
              </w:rPr>
              <w:t>《中华人民共和国安全生产法》第九十九条第二项</w:t>
            </w:r>
            <w:r>
              <w:rPr>
                <w:rFonts w:hint="eastAsia" w:ascii="仿宋" w:hAnsi="仿宋" w:eastAsia="仿宋" w:cs="仿宋"/>
                <w:color w:val="000000"/>
                <w:sz w:val="18"/>
                <w:szCs w:val="18"/>
              </w:rPr>
              <w:t>；</w:t>
            </w:r>
            <w:r>
              <w:rPr>
                <w:rFonts w:hint="eastAsia" w:ascii="仿宋" w:hAnsi="仿宋" w:eastAsia="仿宋"/>
                <w:sz w:val="18"/>
                <w:szCs w:val="18"/>
              </w:rPr>
              <w:t>4</w:t>
            </w:r>
            <w:r>
              <w:rPr>
                <w:rFonts w:ascii="仿宋" w:hAnsi="仿宋" w:eastAsia="仿宋"/>
                <w:sz w:val="18"/>
                <w:szCs w:val="18"/>
              </w:rPr>
              <w:t>.</w:t>
            </w:r>
            <w:r>
              <w:rPr>
                <w:rFonts w:hint="eastAsia" w:ascii="仿宋" w:hAnsi="仿宋" w:eastAsia="仿宋"/>
                <w:sz w:val="18"/>
                <w:szCs w:val="18"/>
              </w:rPr>
              <w:t>《中华人民共和国安全生产法》第九十九条第二项</w:t>
            </w:r>
            <w:r>
              <w:rPr>
                <w:rFonts w:hint="eastAsia" w:ascii="仿宋" w:hAnsi="仿宋" w:eastAsia="仿宋" w:cs="仿宋"/>
                <w:color w:val="000000"/>
                <w:sz w:val="18"/>
                <w:szCs w:val="18"/>
              </w:rPr>
              <w:t>；</w:t>
            </w:r>
            <w:r>
              <w:rPr>
                <w:rFonts w:hint="eastAsia" w:ascii="仿宋" w:hAnsi="仿宋" w:eastAsia="仿宋"/>
                <w:sz w:val="18"/>
                <w:szCs w:val="18"/>
              </w:rPr>
              <w:t>5</w:t>
            </w:r>
            <w:r>
              <w:rPr>
                <w:rFonts w:ascii="仿宋" w:hAnsi="仿宋" w:eastAsia="仿宋"/>
                <w:sz w:val="18"/>
                <w:szCs w:val="18"/>
              </w:rPr>
              <w:t>.</w:t>
            </w:r>
            <w:r>
              <w:rPr>
                <w:rFonts w:hint="eastAsia" w:ascii="仿宋" w:hAnsi="仿宋" w:eastAsia="仿宋"/>
                <w:sz w:val="18"/>
                <w:szCs w:val="18"/>
              </w:rPr>
              <w:t>《中华人民共和国安全生产法》第九十九条第二项</w:t>
            </w:r>
            <w:r>
              <w:rPr>
                <w:rFonts w:hint="eastAsia" w:ascii="仿宋" w:hAnsi="仿宋" w:eastAsia="仿宋"/>
                <w:sz w:val="18"/>
                <w:szCs w:val="18"/>
                <w:lang w:eastAsia="zh-CN"/>
              </w:rPr>
              <w:t>。</w:t>
            </w:r>
          </w:p>
        </w:tc>
      </w:tr>
      <w:tr>
        <w:tblPrEx>
          <w:tblLayout w:type="fixed"/>
          <w:tblCellMar>
            <w:top w:w="0" w:type="dxa"/>
            <w:left w:w="0" w:type="dxa"/>
            <w:bottom w:w="0" w:type="dxa"/>
            <w:right w:w="0" w:type="dxa"/>
          </w:tblCellMar>
        </w:tblPrEx>
        <w:trPr>
          <w:trHeight w:val="885" w:hRule="atLeast"/>
          <w:jc w:val="center"/>
        </w:trPr>
        <w:tc>
          <w:tcPr>
            <w:tcW w:w="545" w:type="dxa"/>
            <w:tcBorders>
              <w:top w:val="nil"/>
              <w:left w:val="single" w:color="333333" w:sz="6" w:space="0"/>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13</w:t>
            </w:r>
          </w:p>
        </w:tc>
        <w:tc>
          <w:tcPr>
            <w:tcW w:w="2750" w:type="dxa"/>
            <w:tcBorders>
              <w:top w:val="nil"/>
              <w:left w:val="nil"/>
              <w:bottom w:val="single" w:color="333333" w:sz="6" w:space="0"/>
              <w:right w:val="single" w:color="333333" w:sz="6" w:space="0"/>
            </w:tcBorders>
            <w:tcMar>
              <w:top w:w="28" w:type="dxa"/>
              <w:left w:w="28" w:type="dxa"/>
              <w:bottom w:w="28" w:type="dxa"/>
              <w:right w:w="28" w:type="dxa"/>
            </w:tcMar>
            <w:vAlign w:val="center"/>
          </w:tcPr>
          <w:p>
            <w:pPr>
              <w:pStyle w:val="5"/>
              <w:widowControl/>
              <w:spacing w:before="0" w:beforeAutospacing="0" w:after="0" w:afterAutospacing="0" w:line="0" w:lineRule="atLeast"/>
              <w:jc w:val="center"/>
              <w:rPr>
                <w:rFonts w:ascii="仿宋" w:hAnsi="仿宋" w:eastAsia="仿宋" w:cs="仿宋"/>
                <w:color w:val="000000"/>
                <w:sz w:val="18"/>
                <w:szCs w:val="18"/>
              </w:rPr>
            </w:pPr>
            <w:r>
              <w:rPr>
                <w:rFonts w:hint="eastAsia" w:ascii="仿宋" w:hAnsi="仿宋" w:eastAsia="仿宋" w:cs="仿宋"/>
                <w:color w:val="000000"/>
                <w:sz w:val="18"/>
                <w:szCs w:val="18"/>
              </w:rPr>
              <w:t>处罚结果</w:t>
            </w:r>
          </w:p>
        </w:tc>
        <w:tc>
          <w:tcPr>
            <w:tcW w:w="5544" w:type="dxa"/>
            <w:tcBorders>
              <w:top w:val="nil"/>
              <w:left w:val="nil"/>
              <w:bottom w:val="single" w:color="333333" w:sz="6" w:space="0"/>
              <w:right w:val="single" w:color="auto" w:sz="6" w:space="0"/>
            </w:tcBorders>
            <w:tcMar>
              <w:top w:w="28" w:type="dxa"/>
              <w:left w:w="28" w:type="dxa"/>
              <w:bottom w:w="28" w:type="dxa"/>
              <w:right w:w="28" w:type="dxa"/>
            </w:tcMar>
            <w:vAlign w:val="center"/>
          </w:tcPr>
          <w:p>
            <w:pPr>
              <w:pStyle w:val="5"/>
              <w:widowControl/>
              <w:spacing w:before="0" w:beforeAutospacing="0" w:after="0" w:afterAutospacing="0" w:line="0" w:lineRule="atLeast"/>
              <w:rPr>
                <w:rFonts w:ascii="仿宋" w:hAnsi="仿宋" w:eastAsia="仿宋" w:cs="仿宋"/>
                <w:color w:val="000000"/>
                <w:sz w:val="18"/>
                <w:szCs w:val="18"/>
              </w:rPr>
            </w:pPr>
            <w:r>
              <w:rPr>
                <w:rFonts w:hint="eastAsia" w:ascii="仿宋" w:hAnsi="仿宋" w:eastAsia="仿宋" w:cs="仿宋"/>
                <w:color w:val="000000"/>
                <w:sz w:val="18"/>
                <w:szCs w:val="18"/>
              </w:rPr>
              <w:t>分别1</w:t>
            </w:r>
            <w:r>
              <w:rPr>
                <w:rFonts w:ascii="仿宋" w:hAnsi="仿宋" w:eastAsia="仿宋" w:cs="仿宋"/>
                <w:color w:val="000000"/>
                <w:sz w:val="18"/>
                <w:szCs w:val="18"/>
              </w:rPr>
              <w:t>.</w:t>
            </w:r>
            <w:r>
              <w:rPr>
                <w:rFonts w:hint="eastAsia" w:ascii="仿宋" w:hAnsi="仿宋" w:eastAsia="仿宋" w:cs="仿宋"/>
                <w:color w:val="000000"/>
                <w:sz w:val="18"/>
                <w:szCs w:val="18"/>
              </w:rPr>
              <w:t>责令煤矿停产整顿3日，罚款人民币1</w:t>
            </w:r>
            <w:r>
              <w:rPr>
                <w:rFonts w:ascii="仿宋" w:hAnsi="仿宋" w:eastAsia="仿宋" w:cs="仿宋"/>
                <w:color w:val="000000"/>
                <w:sz w:val="18"/>
                <w:szCs w:val="18"/>
              </w:rPr>
              <w:t>50</w:t>
            </w:r>
            <w:r>
              <w:rPr>
                <w:rFonts w:hint="eastAsia" w:ascii="仿宋" w:hAnsi="仿宋" w:eastAsia="仿宋" w:cs="仿宋"/>
                <w:color w:val="000000"/>
                <w:sz w:val="18"/>
                <w:szCs w:val="18"/>
              </w:rPr>
              <w:t>万元整，对企业主要负责人王春刚罚款人民币1</w:t>
            </w:r>
            <w:r>
              <w:rPr>
                <w:rFonts w:ascii="仿宋" w:hAnsi="仿宋" w:eastAsia="仿宋" w:cs="仿宋"/>
                <w:color w:val="000000"/>
                <w:sz w:val="18"/>
                <w:szCs w:val="18"/>
              </w:rPr>
              <w:t>0</w:t>
            </w:r>
            <w:r>
              <w:rPr>
                <w:rFonts w:hint="eastAsia" w:ascii="仿宋" w:hAnsi="仿宋" w:eastAsia="仿宋" w:cs="仿宋"/>
                <w:color w:val="000000"/>
                <w:sz w:val="18"/>
                <w:szCs w:val="18"/>
              </w:rPr>
              <w:t>万元整；2</w:t>
            </w:r>
            <w:r>
              <w:rPr>
                <w:rFonts w:ascii="仿宋" w:hAnsi="仿宋" w:eastAsia="仿宋" w:cs="仿宋"/>
                <w:color w:val="000000"/>
                <w:sz w:val="18"/>
                <w:szCs w:val="18"/>
              </w:rPr>
              <w:t>.</w:t>
            </w:r>
            <w:r>
              <w:rPr>
                <w:rFonts w:hint="eastAsia" w:ascii="仿宋" w:hAnsi="仿宋" w:eastAsia="仿宋" w:cs="仿宋"/>
                <w:color w:val="000000"/>
                <w:sz w:val="18"/>
                <w:szCs w:val="18"/>
              </w:rPr>
              <w:t>责令煤矿停产整顿3日，罚款人民币1</w:t>
            </w:r>
            <w:r>
              <w:rPr>
                <w:rFonts w:ascii="仿宋" w:hAnsi="仿宋" w:eastAsia="仿宋" w:cs="仿宋"/>
                <w:color w:val="000000"/>
                <w:sz w:val="18"/>
                <w:szCs w:val="18"/>
              </w:rPr>
              <w:t>3</w:t>
            </w:r>
            <w:r>
              <w:rPr>
                <w:rFonts w:hint="eastAsia" w:ascii="仿宋" w:hAnsi="仿宋" w:eastAsia="仿宋" w:cs="仿宋"/>
                <w:color w:val="000000"/>
                <w:sz w:val="18"/>
                <w:szCs w:val="18"/>
              </w:rPr>
              <w:t>万元整，对企业主要负责人王春刚罚款人民币2万元整；3</w:t>
            </w:r>
            <w:r>
              <w:rPr>
                <w:rFonts w:ascii="仿宋" w:hAnsi="仿宋" w:eastAsia="仿宋" w:cs="仿宋"/>
                <w:color w:val="000000"/>
                <w:sz w:val="18"/>
                <w:szCs w:val="18"/>
              </w:rPr>
              <w:t>.</w:t>
            </w:r>
            <w:r>
              <w:rPr>
                <w:rFonts w:hint="eastAsia" w:ascii="仿宋" w:hAnsi="仿宋" w:eastAsia="仿宋" w:cs="仿宋"/>
                <w:color w:val="000000"/>
                <w:sz w:val="18"/>
                <w:szCs w:val="18"/>
              </w:rPr>
              <w:t>责令限期改正，处3万元罚款；4</w:t>
            </w:r>
            <w:r>
              <w:rPr>
                <w:rFonts w:ascii="仿宋" w:hAnsi="仿宋" w:eastAsia="仿宋" w:cs="仿宋"/>
                <w:color w:val="000000"/>
                <w:sz w:val="18"/>
                <w:szCs w:val="18"/>
              </w:rPr>
              <w:t>.</w:t>
            </w:r>
            <w:r>
              <w:rPr>
                <w:rFonts w:hint="eastAsia" w:ascii="仿宋" w:hAnsi="仿宋" w:eastAsia="仿宋" w:cs="仿宋"/>
                <w:color w:val="000000"/>
                <w:sz w:val="18"/>
                <w:szCs w:val="18"/>
              </w:rPr>
              <w:t>责令限期改正，处3万元罚款；5</w:t>
            </w:r>
            <w:r>
              <w:rPr>
                <w:rFonts w:ascii="仿宋" w:hAnsi="仿宋" w:eastAsia="仿宋" w:cs="仿宋"/>
                <w:color w:val="000000"/>
                <w:sz w:val="18"/>
                <w:szCs w:val="18"/>
              </w:rPr>
              <w:t>.</w:t>
            </w:r>
            <w:r>
              <w:rPr>
                <w:rFonts w:hint="eastAsia" w:ascii="仿宋" w:hAnsi="仿宋" w:eastAsia="仿宋" w:cs="仿宋"/>
                <w:color w:val="000000"/>
                <w:sz w:val="18"/>
                <w:szCs w:val="18"/>
              </w:rPr>
              <w:t>责令限期改正，处3万元罚款。合并对煤矿罚款人民币1</w:t>
            </w:r>
            <w:r>
              <w:rPr>
                <w:rFonts w:ascii="仿宋" w:hAnsi="仿宋" w:eastAsia="仿宋" w:cs="仿宋"/>
                <w:color w:val="000000"/>
                <w:sz w:val="18"/>
                <w:szCs w:val="18"/>
              </w:rPr>
              <w:t>72</w:t>
            </w:r>
            <w:r>
              <w:rPr>
                <w:rFonts w:hint="eastAsia" w:ascii="仿宋" w:hAnsi="仿宋" w:eastAsia="仿宋" w:cs="仿宋"/>
                <w:color w:val="000000"/>
                <w:sz w:val="18"/>
                <w:szCs w:val="18"/>
              </w:rPr>
              <w:t>万元，对主要负责人王春刚罚款1</w:t>
            </w:r>
            <w:r>
              <w:rPr>
                <w:rFonts w:ascii="仿宋" w:hAnsi="仿宋" w:eastAsia="仿宋" w:cs="仿宋"/>
                <w:color w:val="000000"/>
                <w:sz w:val="18"/>
                <w:szCs w:val="18"/>
              </w:rPr>
              <w:t>2</w:t>
            </w:r>
            <w:r>
              <w:rPr>
                <w:rFonts w:hint="eastAsia" w:ascii="仿宋" w:hAnsi="仿宋" w:eastAsia="仿宋" w:cs="仿宋"/>
                <w:color w:val="000000"/>
                <w:sz w:val="18"/>
                <w:szCs w:val="18"/>
              </w:rPr>
              <w:t>万元，责令煤矿停产整顿3日。</w:t>
            </w:r>
          </w:p>
        </w:tc>
      </w:tr>
    </w:tbl>
    <w:p>
      <w:pPr>
        <w:rPr>
          <w:color w:val="000000"/>
        </w:rPr>
      </w:pPr>
    </w:p>
    <w:p>
      <w:pPr>
        <w:pStyle w:val="11"/>
        <w:ind w:firstLine="420"/>
        <w:rPr>
          <w:color w:val="000000"/>
        </w:rPr>
      </w:pPr>
    </w:p>
    <w:p>
      <w:pPr>
        <w:rPr>
          <w:color w:val="000000"/>
        </w:rPr>
      </w:pPr>
    </w:p>
    <w:p>
      <w:pPr>
        <w:pStyle w:val="11"/>
        <w:ind w:firstLine="420"/>
        <w:rPr>
          <w:color w:val="000000"/>
        </w:rPr>
      </w:pPr>
    </w:p>
    <w:p>
      <w:pPr>
        <w:rPr>
          <w:color w:val="000000"/>
        </w:rPr>
      </w:pPr>
    </w:p>
    <w:p>
      <w:pPr>
        <w:pStyle w:val="11"/>
        <w:ind w:firstLine="420"/>
        <w:rPr>
          <w:color w:val="000000"/>
        </w:rPr>
      </w:pPr>
    </w:p>
    <w:p>
      <w:pPr>
        <w:rPr>
          <w:color w:val="000000"/>
        </w:rPr>
      </w:pPr>
    </w:p>
    <w:p>
      <w:pPr>
        <w:pStyle w:val="11"/>
        <w:ind w:firstLine="420"/>
        <w:rPr>
          <w:color w:val="00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BC"/>
    <w:rsid w:val="00045BDA"/>
    <w:rsid w:val="001815AD"/>
    <w:rsid w:val="001F752C"/>
    <w:rsid w:val="00383A5F"/>
    <w:rsid w:val="004C27A1"/>
    <w:rsid w:val="004C5541"/>
    <w:rsid w:val="009D6218"/>
    <w:rsid w:val="00AA02D7"/>
    <w:rsid w:val="00C467C7"/>
    <w:rsid w:val="00D9779A"/>
    <w:rsid w:val="00E4336A"/>
    <w:rsid w:val="00EA4B65"/>
    <w:rsid w:val="00EA6F02"/>
    <w:rsid w:val="00F067A3"/>
    <w:rsid w:val="00F61EBC"/>
    <w:rsid w:val="00F77570"/>
    <w:rsid w:val="187335F8"/>
    <w:rsid w:val="40E53861"/>
    <w:rsid w:val="51CF7679"/>
    <w:rsid w:val="7D8C5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Salutation"/>
    <w:basedOn w:val="1"/>
    <w:next w:val="1"/>
    <w:link w:val="12"/>
    <w:semiHidden/>
    <w:unhideWhenUsed/>
    <w:uiPriority w:val="99"/>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正文-公1"/>
    <w:basedOn w:val="1"/>
    <w:next w:val="1"/>
    <w:qFormat/>
    <w:uiPriority w:val="0"/>
    <w:pPr>
      <w:ind w:firstLine="200" w:firstLineChars="200"/>
      <w:jc w:val="left"/>
    </w:pPr>
    <w:rPr>
      <w:rFonts w:eastAsia="仿宋_GB2312"/>
    </w:rPr>
  </w:style>
  <w:style w:type="character" w:customStyle="1" w:styleId="12">
    <w:name w:val="称呼 字符"/>
    <w:basedOn w:val="7"/>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193</Words>
  <Characters>1104</Characters>
  <Lines>9</Lines>
  <Paragraphs>2</Paragraphs>
  <TotalTime>0</TotalTime>
  <ScaleCrop>false</ScaleCrop>
  <LinksUpToDate>false</LinksUpToDate>
  <CharactersWithSpaces>1295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2023-09-26T01:53:00Z</dcterms:created>
  <dc:creator>张竣淇</dc:creator>
  <cp:lastModifiedBy>刘旭艳</cp:lastModifiedBy>
  <cp:lastPrinted>2023-09-27T07:57:00Z</cp:lastPrinted>
  <dcterms:modified xsi:type="dcterms:W3CDTF">2023-09-28T01:18:07Z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