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40836">
      <w:pPr>
        <w:spacing w:beforeLines="0" w:afterLines="0" w:line="600" w:lineRule="exact"/>
        <w:rPr>
          <w:rFonts w:hint="eastAsia" w:ascii="黑体" w:eastAsia="黑体" w:cs="黑体"/>
          <w:bCs/>
          <w:color w:val="000000"/>
          <w:sz w:val="32"/>
          <w:szCs w:val="32"/>
          <w:shd w:val="clear" w:color="auto" w:fill="auto"/>
          <w:lang w:val="en-US" w:eastAsia="zh-CN" w:bidi="ar-SA"/>
        </w:rPr>
      </w:pPr>
      <w:r>
        <w:rPr>
          <w:rFonts w:hint="eastAsia" w:ascii="黑体" w:eastAsia="黑体" w:cs="黑体"/>
          <w:bCs/>
          <w:color w:val="000000"/>
          <w:sz w:val="32"/>
          <w:szCs w:val="32"/>
          <w:shd w:val="clear" w:color="auto" w:fill="auto"/>
          <w:lang w:bidi="ar-SA"/>
        </w:rPr>
        <w:t>附件</w:t>
      </w:r>
      <w:r>
        <w:rPr>
          <w:rFonts w:hint="eastAsia" w:ascii="黑体" w:eastAsia="黑体" w:cs="黑体"/>
          <w:bCs/>
          <w:color w:val="000000"/>
          <w:sz w:val="32"/>
          <w:szCs w:val="32"/>
          <w:shd w:val="clear" w:color="auto" w:fill="auto"/>
          <w:lang w:val="en-US" w:eastAsia="zh-CN" w:bidi="ar-SA"/>
        </w:rPr>
        <w:t>2</w:t>
      </w:r>
    </w:p>
    <w:p w14:paraId="0C093C00">
      <w:pPr>
        <w:spacing w:beforeLines="0" w:afterLines="0" w:line="600" w:lineRule="exact"/>
        <w:rPr>
          <w:rFonts w:hint="eastAsia" w:ascii="黑体" w:eastAsia="黑体" w:cs="黑体"/>
          <w:bCs/>
          <w:color w:val="000000"/>
          <w:sz w:val="32"/>
          <w:szCs w:val="32"/>
          <w:shd w:val="clear" w:color="auto" w:fill="auto"/>
          <w:lang w:val="en-US" w:eastAsia="zh-CN" w:bidi="ar-SA"/>
        </w:rPr>
      </w:pPr>
    </w:p>
    <w:p w14:paraId="697FED66">
      <w:pPr>
        <w:pStyle w:val="5"/>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eastAsia="方正小标宋简体" w:cs="方正小标宋简体"/>
          <w:bCs/>
          <w:color w:val="000000"/>
          <w:sz w:val="44"/>
          <w:szCs w:val="44"/>
          <w:shd w:val="clear" w:color="auto" w:fill="auto"/>
          <w:lang w:val="en-US" w:eastAsia="zh-CN" w:bidi="ar-SA"/>
        </w:rPr>
      </w:pPr>
      <w:r>
        <w:rPr>
          <w:rFonts w:hint="eastAsia" w:ascii="方正小标宋简体" w:eastAsia="方正小标宋简体" w:cs="方正小标宋简体"/>
          <w:bCs/>
          <w:color w:val="000000"/>
          <w:sz w:val="44"/>
          <w:szCs w:val="44"/>
          <w:shd w:val="clear" w:color="auto" w:fill="auto"/>
          <w:lang w:eastAsia="zh-CN" w:bidi="ar-SA"/>
        </w:rPr>
        <w:t>变更</w:t>
      </w:r>
      <w:r>
        <w:rPr>
          <w:rFonts w:hint="eastAsia" w:ascii="方正小标宋简体" w:eastAsia="方正小标宋简体" w:cs="方正小标宋简体"/>
          <w:bCs/>
          <w:color w:val="000000"/>
          <w:sz w:val="44"/>
          <w:szCs w:val="44"/>
          <w:shd w:val="clear" w:color="auto" w:fill="auto"/>
          <w:lang w:bidi="ar-SA"/>
        </w:rPr>
        <w:t>危险化学品安全生产许可</w:t>
      </w:r>
      <w:r>
        <w:rPr>
          <w:rFonts w:hint="eastAsia" w:ascii="方正小标宋简体" w:eastAsia="方正小标宋简体" w:cs="方正小标宋简体"/>
          <w:bCs/>
          <w:color w:val="000000"/>
          <w:sz w:val="44"/>
          <w:szCs w:val="44"/>
          <w:shd w:val="clear" w:color="auto" w:fill="auto"/>
          <w:lang w:eastAsia="zh-CN" w:bidi="ar-SA"/>
        </w:rPr>
        <w:t>证</w:t>
      </w:r>
      <w:r>
        <w:rPr>
          <w:rFonts w:hint="eastAsia" w:ascii="方正小标宋简体" w:eastAsia="方正小标宋简体" w:cs="方正小标宋简体"/>
          <w:bCs/>
          <w:color w:val="000000"/>
          <w:sz w:val="44"/>
          <w:szCs w:val="44"/>
          <w:shd w:val="clear" w:color="auto" w:fill="auto"/>
          <w:lang w:bidi="ar-SA"/>
        </w:rPr>
        <w:t>企业名单</w:t>
      </w:r>
      <w:r>
        <w:rPr>
          <w:rFonts w:hint="eastAsia" w:ascii="方正小标宋简体" w:eastAsia="方正小标宋简体" w:cs="方正小标宋简体"/>
          <w:bCs/>
          <w:color w:val="000000"/>
          <w:sz w:val="44"/>
          <w:szCs w:val="44"/>
          <w:shd w:val="clear" w:color="auto" w:fill="auto"/>
          <w:lang w:val="en-US" w:eastAsia="zh-CN" w:bidi="ar-SA"/>
        </w:rPr>
        <w:t>（3家）</w:t>
      </w:r>
    </w:p>
    <w:p w14:paraId="49ECD1C9">
      <w:pPr>
        <w:rPr>
          <w:rFonts w:hint="default" w:ascii="Times New Roman" w:eastAsia="仿宋" w:cs="Times New Roman"/>
          <w:color w:val="000000"/>
          <w:sz w:val="32"/>
          <w:szCs w:val="24"/>
          <w:lang w:bidi="ar-SA"/>
        </w:rPr>
      </w:pPr>
    </w:p>
    <w:tbl>
      <w:tblPr>
        <w:tblStyle w:val="6"/>
        <w:tblW w:w="0" w:type="auto"/>
        <w:tblInd w:w="0" w:type="dxa"/>
        <w:tblLayout w:type="fixed"/>
        <w:tblCellMar>
          <w:top w:w="0" w:type="dxa"/>
          <w:left w:w="0" w:type="dxa"/>
          <w:bottom w:w="0" w:type="dxa"/>
          <w:right w:w="0" w:type="dxa"/>
        </w:tblCellMar>
      </w:tblPr>
      <w:tblGrid>
        <w:gridCol w:w="582"/>
        <w:gridCol w:w="2022"/>
        <w:gridCol w:w="2485"/>
        <w:gridCol w:w="1471"/>
        <w:gridCol w:w="1968"/>
        <w:gridCol w:w="3494"/>
        <w:gridCol w:w="2627"/>
      </w:tblGrid>
      <w:tr w14:paraId="636E5E4F">
        <w:tblPrEx>
          <w:tblCellMar>
            <w:top w:w="0" w:type="dxa"/>
            <w:left w:w="0" w:type="dxa"/>
            <w:bottom w:w="0" w:type="dxa"/>
            <w:right w:w="0" w:type="dxa"/>
          </w:tblCellMar>
        </w:tblPrEx>
        <w:trPr>
          <w:trHeight w:val="743"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0430E083">
            <w:pPr>
              <w:spacing w:before="0" w:after="0"/>
              <w:jc w:val="center"/>
              <w:rPr>
                <w:rFonts w:hint="eastAsia" w:ascii="黑体" w:eastAsia="黑体" w:cs="黑体"/>
                <w:bCs/>
                <w:color w:val="000000"/>
                <w:sz w:val="21"/>
                <w:szCs w:val="21"/>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序号</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3A76E123">
            <w:pPr>
              <w:spacing w:before="0" w:after="0"/>
              <w:jc w:val="center"/>
              <w:rPr>
                <w:rFonts w:hint="eastAsia" w:ascii="黑体" w:eastAsia="黑体" w:cs="黑体"/>
                <w:bCs/>
                <w:color w:val="000000"/>
                <w:kern w:val="2"/>
                <w:sz w:val="21"/>
                <w:szCs w:val="21"/>
                <w:highlight w:val="none"/>
                <w:u w:val="none"/>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法  人</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A4A3ED4">
            <w:pPr>
              <w:spacing w:before="0" w:after="0"/>
              <w:jc w:val="center"/>
              <w:rPr>
                <w:rFonts w:hint="eastAsia" w:ascii="黑体" w:eastAsia="黑体" w:cs="黑体"/>
                <w:bCs/>
                <w:color w:val="000000"/>
                <w:kern w:val="2"/>
                <w:sz w:val="21"/>
                <w:szCs w:val="21"/>
                <w:u w:val="none"/>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地  址</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16560BC2">
            <w:pPr>
              <w:spacing w:before="0" w:after="0"/>
              <w:jc w:val="center"/>
              <w:rPr>
                <w:rFonts w:hint="eastAsia" w:ascii="黑体" w:eastAsia="黑体" w:cs="黑体"/>
                <w:bCs/>
                <w:color w:val="000000"/>
                <w:sz w:val="21"/>
                <w:szCs w:val="21"/>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法定代表人</w:t>
            </w:r>
          </w:p>
          <w:p w14:paraId="728DD250">
            <w:pPr>
              <w:spacing w:before="0" w:after="0"/>
              <w:jc w:val="center"/>
              <w:rPr>
                <w:rFonts w:hint="eastAsia" w:ascii="黑体" w:eastAsia="黑体" w:cs="黑体"/>
                <w:bCs/>
                <w:color w:val="000000"/>
                <w:kern w:val="2"/>
                <w:sz w:val="21"/>
                <w:szCs w:val="21"/>
                <w:u w:val="none"/>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（负责人）</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32B8FF51">
            <w:pPr>
              <w:spacing w:before="0" w:after="0"/>
              <w:jc w:val="center"/>
              <w:rPr>
                <w:rFonts w:hint="eastAsia" w:ascii="黑体" w:eastAsia="黑体" w:cs="黑体"/>
                <w:bCs/>
                <w:color w:val="000000"/>
                <w:sz w:val="21"/>
                <w:szCs w:val="21"/>
                <w:u w:val="none"/>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许可证编号</w:t>
            </w:r>
          </w:p>
        </w:tc>
        <w:tc>
          <w:tcPr>
            <w:tcW w:w="3494" w:type="dxa"/>
            <w:tcBorders>
              <w:top w:val="single" w:color="auto" w:sz="4" w:space="0"/>
              <w:left w:val="single" w:color="auto" w:sz="4" w:space="0"/>
              <w:bottom w:val="single" w:color="auto" w:sz="4" w:space="0"/>
              <w:right w:val="single" w:color="auto" w:sz="4" w:space="0"/>
            </w:tcBorders>
            <w:noWrap w:val="0"/>
            <w:vAlign w:val="center"/>
          </w:tcPr>
          <w:p w14:paraId="4D294B5F">
            <w:pPr>
              <w:spacing w:before="0" w:after="0"/>
              <w:jc w:val="center"/>
              <w:rPr>
                <w:rFonts w:hint="eastAsia" w:ascii="黑体" w:eastAsia="黑体" w:cs="黑体"/>
                <w:bCs/>
                <w:color w:val="000000"/>
                <w:kern w:val="2"/>
                <w:sz w:val="21"/>
                <w:szCs w:val="21"/>
                <w:u w:val="none"/>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许可范围</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1EBE5596">
            <w:pPr>
              <w:spacing w:before="0" w:after="0"/>
              <w:jc w:val="center"/>
              <w:rPr>
                <w:rFonts w:hint="eastAsia" w:ascii="黑体" w:eastAsia="黑体" w:cs="黑体"/>
                <w:bCs/>
                <w:color w:val="000000"/>
                <w:spacing w:val="-6"/>
                <w:kern w:val="2"/>
                <w:sz w:val="21"/>
                <w:szCs w:val="21"/>
                <w:u w:val="none"/>
                <w:shd w:val="clear" w:color="auto" w:fill="auto"/>
                <w:lang w:val="en-US" w:eastAsia="zh-CN" w:bidi="ar-SA"/>
              </w:rPr>
            </w:pPr>
            <w:r>
              <w:rPr>
                <w:rFonts w:hint="eastAsia" w:ascii="黑体" w:eastAsia="黑体" w:cs="黑体"/>
                <w:bCs/>
                <w:color w:val="000000"/>
                <w:sz w:val="21"/>
                <w:szCs w:val="21"/>
                <w:shd w:val="clear" w:color="auto" w:fill="auto"/>
                <w:lang w:val="en-US" w:eastAsia="zh-CN" w:bidi="ar-SA"/>
              </w:rPr>
              <w:t>许可证有效期</w:t>
            </w:r>
          </w:p>
        </w:tc>
      </w:tr>
      <w:tr w14:paraId="42215CEF">
        <w:tblPrEx>
          <w:tblCellMar>
            <w:top w:w="0" w:type="dxa"/>
            <w:left w:w="0" w:type="dxa"/>
            <w:bottom w:w="0" w:type="dxa"/>
            <w:right w:w="0" w:type="dxa"/>
          </w:tblCellMar>
        </w:tblPrEx>
        <w:trPr>
          <w:trHeight w:val="1426"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7BE6423A">
            <w:pPr>
              <w:spacing w:before="0" w:after="0" w:line="300" w:lineRule="exact"/>
              <w:jc w:val="center"/>
              <w:rPr>
                <w:rFonts w:hint="eastAsia" w:ascii="仿宋" w:cs="仿宋"/>
                <w:color w:val="000000"/>
                <w:sz w:val="21"/>
                <w:szCs w:val="21"/>
                <w:shd w:val="clear" w:color="auto" w:fill="auto"/>
                <w:lang w:val="en-US" w:eastAsia="zh-CN" w:bidi="ar-SA"/>
              </w:rPr>
            </w:pPr>
            <w:r>
              <w:rPr>
                <w:rFonts w:hint="eastAsia" w:ascii="仿宋" w:cs="仿宋"/>
                <w:color w:val="000000"/>
                <w:sz w:val="21"/>
                <w:szCs w:val="21"/>
                <w:shd w:val="clear" w:color="auto" w:fill="auto"/>
                <w:lang w:val="en-US" w:eastAsia="zh-CN" w:bidi="ar-SA"/>
              </w:rPr>
              <w:t>1</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21D5DE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佳县中宏工贸有限公司</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021867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陕西省榆林市佳县榆佳经济技术开发区华创路榆能集团盐化公司东门向南200米</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1ED11B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杜腾云</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3CFD8C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（陕）WH安许证字</w:t>
            </w:r>
            <w:bookmarkStart w:id="0" w:name="hmcheck_a905258feb364b69ad7e0a074745fafe"/>
            <w:r>
              <w:rPr>
                <w:rFonts w:hint="eastAsia" w:ascii="CESI仿宋-GB2312" w:hAnsi="CESI仿宋-GB2312" w:eastAsia="CESI仿宋-GB2312" w:cs="CESI仿宋-GB2312"/>
                <w:b w:val="0"/>
                <w:color w:val="000000"/>
                <w:sz w:val="24"/>
                <w:szCs w:val="24"/>
                <w:u w:val="none"/>
                <w:shd w:val="clear" w:color="auto" w:fill="auto"/>
                <w:lang w:val="en-US" w:eastAsia="zh-CN"/>
              </w:rPr>
              <w:t>〔2025〕0257号</w:t>
            </w:r>
            <w:bookmarkEnd w:id="0"/>
          </w:p>
        </w:tc>
        <w:tc>
          <w:tcPr>
            <w:tcW w:w="3494" w:type="dxa"/>
            <w:tcBorders>
              <w:top w:val="single" w:color="auto" w:sz="4" w:space="0"/>
              <w:left w:val="single" w:color="auto" w:sz="4" w:space="0"/>
              <w:bottom w:val="single" w:color="auto" w:sz="4" w:space="0"/>
              <w:right w:val="single" w:color="auto" w:sz="4" w:space="0"/>
            </w:tcBorders>
            <w:noWrap w:val="0"/>
            <w:vAlign w:val="center"/>
          </w:tcPr>
          <w:p w14:paraId="0A5F47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液化天然气（LNG）11万吨/年、重烃300吨/年</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0B0EE5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2025-04-28至</w:t>
            </w:r>
          </w:p>
          <w:p w14:paraId="24ED59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2026-06-11</w:t>
            </w:r>
          </w:p>
        </w:tc>
      </w:tr>
      <w:tr w14:paraId="72B89A3E">
        <w:tblPrEx>
          <w:tblCellMar>
            <w:top w:w="0" w:type="dxa"/>
            <w:left w:w="0" w:type="dxa"/>
            <w:bottom w:w="0" w:type="dxa"/>
            <w:right w:w="0" w:type="dxa"/>
          </w:tblCellMar>
        </w:tblPrEx>
        <w:trPr>
          <w:trHeight w:val="1051"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3457EEAC">
            <w:pPr>
              <w:spacing w:before="0" w:after="0" w:line="300" w:lineRule="exact"/>
              <w:jc w:val="center"/>
              <w:rPr>
                <w:rFonts w:hint="eastAsia" w:ascii="仿宋" w:cs="仿宋"/>
                <w:color w:val="000000"/>
                <w:sz w:val="21"/>
                <w:szCs w:val="21"/>
                <w:shd w:val="clear" w:color="auto" w:fill="auto"/>
                <w:lang w:val="en-US" w:eastAsia="zh-CN" w:bidi="ar-SA"/>
              </w:rPr>
            </w:pPr>
            <w:r>
              <w:rPr>
                <w:rFonts w:hint="eastAsia" w:ascii="仿宋" w:cs="仿宋"/>
                <w:color w:val="000000"/>
                <w:sz w:val="21"/>
                <w:szCs w:val="21"/>
                <w:shd w:val="clear" w:color="auto" w:fill="auto"/>
                <w:lang w:val="en-US" w:eastAsia="zh-CN" w:bidi="ar-SA"/>
              </w:rPr>
              <w:t>2</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659AD0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韩城市裕隆焦化有限责任公司</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603CC7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陕西省韩城市龙门镇龙门工业园</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622F87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梁江涛</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646658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（陕）WH安许证字</w:t>
            </w:r>
            <w:bookmarkStart w:id="1" w:name="hmcheck_053e2d10b7fd4db080c3aa5f1dfdc30d"/>
            <w:r>
              <w:rPr>
                <w:rFonts w:hint="eastAsia" w:ascii="CESI仿宋-GB2312" w:hAnsi="CESI仿宋-GB2312" w:eastAsia="CESI仿宋-GB2312" w:cs="CESI仿宋-GB2312"/>
                <w:b w:val="0"/>
                <w:color w:val="000000"/>
                <w:sz w:val="24"/>
                <w:szCs w:val="24"/>
                <w:u w:val="none"/>
                <w:shd w:val="clear" w:color="auto" w:fill="auto"/>
                <w:lang w:val="en-US" w:eastAsia="zh-CN"/>
              </w:rPr>
              <w:t>〔2025〕0353号</w:t>
            </w:r>
            <w:bookmarkEnd w:id="1"/>
          </w:p>
        </w:tc>
        <w:tc>
          <w:tcPr>
            <w:tcW w:w="3494" w:type="dxa"/>
            <w:tcBorders>
              <w:top w:val="single" w:color="auto" w:sz="4" w:space="0"/>
              <w:left w:val="single" w:color="auto" w:sz="4" w:space="0"/>
              <w:bottom w:val="single" w:color="auto" w:sz="4" w:space="0"/>
              <w:right w:val="single" w:color="auto" w:sz="4" w:space="0"/>
            </w:tcBorders>
            <w:noWrap w:val="0"/>
            <w:vAlign w:val="center"/>
          </w:tcPr>
          <w:p w14:paraId="497339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煤焦油5万吨/年，粗苯1.2万吨/年，煤气4.71亿立方米/年</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687E42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2025-04-28至</w:t>
            </w:r>
          </w:p>
          <w:p w14:paraId="709C94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2027-05-31</w:t>
            </w:r>
          </w:p>
        </w:tc>
      </w:tr>
      <w:tr w14:paraId="7B98B527">
        <w:tblPrEx>
          <w:tblCellMar>
            <w:top w:w="0" w:type="dxa"/>
            <w:left w:w="0" w:type="dxa"/>
            <w:bottom w:w="0" w:type="dxa"/>
            <w:right w:w="0" w:type="dxa"/>
          </w:tblCellMar>
        </w:tblPrEx>
        <w:trPr>
          <w:trHeight w:val="1543"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7F59E0EF">
            <w:pPr>
              <w:spacing w:before="0" w:after="0" w:line="300" w:lineRule="exact"/>
              <w:jc w:val="center"/>
              <w:rPr>
                <w:rFonts w:hint="default" w:ascii="仿宋" w:cs="仿宋"/>
                <w:color w:val="000000"/>
                <w:sz w:val="21"/>
                <w:szCs w:val="21"/>
                <w:shd w:val="clear" w:color="auto" w:fill="auto"/>
                <w:lang w:val="en-US" w:eastAsia="zh-CN" w:bidi="ar-SA"/>
              </w:rPr>
            </w:pPr>
            <w:r>
              <w:rPr>
                <w:rFonts w:hint="eastAsia" w:ascii="仿宋" w:cs="仿宋"/>
                <w:color w:val="000000"/>
                <w:sz w:val="21"/>
                <w:szCs w:val="21"/>
                <w:shd w:val="clear" w:color="auto" w:fill="auto"/>
                <w:lang w:val="en-US" w:eastAsia="zh-CN" w:bidi="ar-SA"/>
              </w:rPr>
              <w:t>3</w:t>
            </w:r>
          </w:p>
        </w:tc>
        <w:tc>
          <w:tcPr>
            <w:tcW w:w="2022" w:type="dxa"/>
            <w:tcBorders>
              <w:top w:val="single" w:color="auto" w:sz="4" w:space="0"/>
              <w:left w:val="single" w:color="auto" w:sz="4" w:space="0"/>
              <w:bottom w:val="single" w:color="auto" w:sz="4" w:space="0"/>
              <w:right w:val="single" w:color="auto" w:sz="4" w:space="0"/>
            </w:tcBorders>
            <w:noWrap w:val="0"/>
            <w:vAlign w:val="center"/>
          </w:tcPr>
          <w:p w14:paraId="4108E8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陕西陕焦化工有限公司</w:t>
            </w:r>
          </w:p>
        </w:tc>
        <w:tc>
          <w:tcPr>
            <w:tcW w:w="2485" w:type="dxa"/>
            <w:tcBorders>
              <w:top w:val="single" w:color="auto" w:sz="4" w:space="0"/>
              <w:left w:val="single" w:color="auto" w:sz="4" w:space="0"/>
              <w:bottom w:val="single" w:color="auto" w:sz="4" w:space="0"/>
              <w:right w:val="single" w:color="auto" w:sz="4" w:space="0"/>
            </w:tcBorders>
            <w:noWrap w:val="0"/>
            <w:vAlign w:val="center"/>
          </w:tcPr>
          <w:p w14:paraId="344B4B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陕西省富平县梅家坪镇</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07FFA2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刘延财</w:t>
            </w:r>
          </w:p>
        </w:tc>
        <w:tc>
          <w:tcPr>
            <w:tcW w:w="1968" w:type="dxa"/>
            <w:tcBorders>
              <w:top w:val="single" w:color="auto" w:sz="4" w:space="0"/>
              <w:left w:val="single" w:color="auto" w:sz="4" w:space="0"/>
              <w:bottom w:val="single" w:color="auto" w:sz="4" w:space="0"/>
              <w:right w:val="single" w:color="auto" w:sz="4" w:space="0"/>
            </w:tcBorders>
            <w:noWrap w:val="0"/>
            <w:vAlign w:val="center"/>
          </w:tcPr>
          <w:p w14:paraId="7C3AD6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（陕）WH安许证字</w:t>
            </w:r>
            <w:bookmarkStart w:id="2" w:name="hmcheck_af1e3cf58c3c409f82856f02233ae2ad"/>
            <w:r>
              <w:rPr>
                <w:rFonts w:hint="eastAsia" w:ascii="CESI仿宋-GB2312" w:hAnsi="CESI仿宋-GB2312" w:eastAsia="CESI仿宋-GB2312" w:cs="CESI仿宋-GB2312"/>
                <w:b w:val="0"/>
                <w:color w:val="000000"/>
                <w:sz w:val="24"/>
                <w:szCs w:val="24"/>
                <w:u w:val="none"/>
                <w:shd w:val="clear" w:color="auto" w:fill="auto"/>
                <w:lang w:val="en-US" w:eastAsia="zh-CN"/>
              </w:rPr>
              <w:t>〔2025〕0319号</w:t>
            </w:r>
            <w:bookmarkEnd w:id="2"/>
          </w:p>
        </w:tc>
        <w:tc>
          <w:tcPr>
            <w:tcW w:w="3494" w:type="dxa"/>
            <w:tcBorders>
              <w:top w:val="single" w:color="auto" w:sz="4" w:space="0"/>
              <w:left w:val="single" w:color="auto" w:sz="4" w:space="0"/>
              <w:bottom w:val="single" w:color="auto" w:sz="4" w:space="0"/>
              <w:right w:val="single" w:color="auto" w:sz="4" w:space="0"/>
            </w:tcBorders>
            <w:noWrap w:val="0"/>
            <w:vAlign w:val="center"/>
          </w:tcPr>
          <w:p w14:paraId="5FCBD0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甲醇20万吨／年，煤焦油9万吨／年，液氨7万吨／年，粗苯2万吨／年，</w:t>
            </w:r>
            <w:bookmarkStart w:id="3" w:name="hmcheck_f08ba6d7d24e42729fcd87a91636700a"/>
            <w:r>
              <w:rPr>
                <w:rFonts w:hint="eastAsia" w:ascii="CESI仿宋-GB2312" w:hAnsi="CESI仿宋-GB2312" w:eastAsia="CESI仿宋-GB2312" w:cs="CESI仿宋-GB2312"/>
                <w:b w:val="0"/>
                <w:color w:val="000000"/>
                <w:sz w:val="24"/>
                <w:szCs w:val="24"/>
                <w:u w:val="none"/>
                <w:shd w:val="clear" w:color="auto" w:fill="auto"/>
                <w:lang w:val="en-US" w:eastAsia="zh-CN"/>
              </w:rPr>
              <w:t>硫磺</w:t>
            </w:r>
            <w:bookmarkEnd w:id="3"/>
            <w:r>
              <w:rPr>
                <w:rFonts w:hint="eastAsia" w:ascii="CESI仿宋-GB2312" w:hAnsi="CESI仿宋-GB2312" w:eastAsia="CESI仿宋-GB2312" w:cs="CESI仿宋-GB2312"/>
                <w:b w:val="0"/>
                <w:color w:val="000000"/>
                <w:sz w:val="24"/>
                <w:szCs w:val="24"/>
                <w:u w:val="none"/>
                <w:shd w:val="clear" w:color="auto" w:fill="auto"/>
                <w:lang w:val="en-US" w:eastAsia="zh-CN"/>
              </w:rPr>
              <w:t>3000吨／年，液氧11.4万吨／年，液氮3.2万吨／年</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30FF8D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2025-04-28至</w:t>
            </w:r>
          </w:p>
          <w:p w14:paraId="6F74CD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b w:val="0"/>
                <w:color w:val="000000"/>
                <w:sz w:val="24"/>
                <w:szCs w:val="24"/>
                <w:u w:val="none"/>
                <w:shd w:val="clear" w:color="auto" w:fill="auto"/>
                <w:lang w:val="en-US" w:eastAsia="zh-CN"/>
              </w:rPr>
            </w:pPr>
            <w:r>
              <w:rPr>
                <w:rFonts w:hint="eastAsia" w:ascii="CESI仿宋-GB2312" w:hAnsi="CESI仿宋-GB2312" w:eastAsia="CESI仿宋-GB2312" w:cs="CESI仿宋-GB2312"/>
                <w:b w:val="0"/>
                <w:color w:val="000000"/>
                <w:sz w:val="24"/>
                <w:szCs w:val="24"/>
                <w:u w:val="none"/>
                <w:shd w:val="clear" w:color="auto" w:fill="auto"/>
                <w:lang w:val="en-US" w:eastAsia="zh-CN"/>
              </w:rPr>
              <w:t>2026-12-30</w:t>
            </w:r>
          </w:p>
        </w:tc>
      </w:tr>
    </w:tbl>
    <w:p w14:paraId="6BADDA91">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A5E64"/>
    <w:rsid w:val="41CA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360" w:lineRule="atLeast"/>
      <w:ind w:firstLine="210"/>
      <w:textAlignment w:val="baseline"/>
    </w:pPr>
    <w:rPr>
      <w:rFonts w:ascii="Arial" w:hAnsi="Arial" w:eastAsia="楷体_GB2312"/>
      <w:sz w:val="24"/>
    </w:rPr>
  </w:style>
  <w:style w:type="paragraph" w:styleId="3">
    <w:name w:val="Body Text Indent"/>
    <w:basedOn w:val="1"/>
    <w:next w:val="4"/>
    <w:qFormat/>
    <w:uiPriority w:val="0"/>
    <w:pPr>
      <w:spacing w:after="120"/>
      <w:ind w:left="200" w:leftChars="200"/>
    </w:pPr>
    <w:rPr>
      <w:sz w:val="24"/>
    </w:rPr>
  </w:style>
  <w:style w:type="paragraph" w:styleId="4">
    <w:name w:val="caption"/>
    <w:basedOn w:val="1"/>
    <w:next w:val="1"/>
    <w:qFormat/>
    <w:uiPriority w:val="0"/>
    <w:rPr>
      <w:rFonts w:ascii="黑体" w:eastAsia="黑体"/>
      <w:sz w:val="20"/>
    </w:rPr>
  </w:style>
  <w:style w:type="paragraph" w:styleId="5">
    <w:name w:val="Body Text"/>
    <w:basedOn w:val="1"/>
    <w:next w:val="1"/>
    <w:qFormat/>
    <w:uiPriority w:val="0"/>
    <w:pPr>
      <w:spacing w:line="520" w:lineRule="exac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2025-05-21T09:12:00Z</dcterms:created>
  <dc:creator>word科科～</dc:creator>
  <cp:lastModifiedBy>word科科～</cp:lastModifiedBy>
  <dcterms:modified xsi:type="dcterms:W3CDTF">2025-05-21T09:12:43Z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E705B67CC22942388D2946DCAECCBEE0_11</vt:lpwstr>
  </property>
  <property fmtid="{D5CDD505-2E9C-101B-9397-08002B2CF9AE}" pid="4" name="KSOTemplateDocerSaveRecord">
    <vt:lpwstr>eyJoZGlkIjoiNzFhNDgyZTBlMGU5NjA3NDU3ZGQ3YzIwMjc0YzNmMDgiLCJ1c2VySWQiOiIzMDgxMTM4MTMifQ==</vt:lpwstr>
  </property>
</Properties>
</file>