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56490">
      <w:pPr>
        <w:keepNext w:val="0"/>
        <w:keepLines w:val="0"/>
        <w:pageBreakBefore w:val="0"/>
        <w:widowControl w:val="0"/>
        <w:kinsoku/>
        <w:wordWrap/>
        <w:overflowPunct/>
        <w:topLinePunct w:val="0"/>
        <w:autoSpaceDE/>
        <w:autoSpaceDN/>
        <w:bidi w:val="0"/>
        <w:adjustRightInd/>
        <w:snapToGrid/>
        <w:spacing w:line="600" w:lineRule="exact"/>
        <w:ind w:left="-426" w:leftChars="-133" w:firstLine="489" w:firstLineChars="153"/>
        <w:textAlignment w:val="auto"/>
        <w:outlineLvl w:val="9"/>
        <w:rPr>
          <w:rFonts w:ascii="黑体" w:eastAsia="黑体"/>
          <w:color w:val="000000"/>
        </w:rPr>
      </w:pPr>
      <w:r>
        <w:rPr>
          <w:rFonts w:ascii="黑体" w:eastAsia="黑体"/>
          <w:color w:val="000000"/>
        </w:rPr>
        <w:t>附件</w:t>
      </w:r>
    </w:p>
    <w:p w14:paraId="7745862B">
      <w:pPr>
        <w:pStyle w:val="4"/>
        <w:spacing w:after="0" w:line="600" w:lineRule="exact"/>
        <w:rPr>
          <w:rFonts w:hint="eastAsia"/>
          <w:color w:val="000000"/>
        </w:rPr>
      </w:pPr>
    </w:p>
    <w:p w14:paraId="6F6E960B">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p>
    <w:p w14:paraId="635853B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6"/>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2"/>
        <w:gridCol w:w="736"/>
        <w:gridCol w:w="3488"/>
        <w:gridCol w:w="1700"/>
        <w:gridCol w:w="1167"/>
        <w:gridCol w:w="1692"/>
        <w:gridCol w:w="1590"/>
        <w:gridCol w:w="1140"/>
      </w:tblGrid>
      <w:tr w14:paraId="2BC6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blHeader/>
          <w:jc w:val="center"/>
        </w:trPr>
        <w:tc>
          <w:tcPr>
            <w:tcW w:w="840" w:type="dxa"/>
            <w:tcBorders>
              <w:tl2br w:val="nil"/>
              <w:tr2bl w:val="nil"/>
            </w:tcBorders>
            <w:noWrap/>
            <w:vAlign w:val="center"/>
          </w:tcPr>
          <w:p w14:paraId="28546405">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序号</w:t>
            </w:r>
          </w:p>
        </w:tc>
        <w:tc>
          <w:tcPr>
            <w:tcW w:w="2592" w:type="dxa"/>
            <w:tcBorders>
              <w:tl2br w:val="nil"/>
              <w:tr2bl w:val="nil"/>
            </w:tcBorders>
            <w:noWrap/>
            <w:vAlign w:val="center"/>
          </w:tcPr>
          <w:p w14:paraId="22EBB714">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736" w:type="dxa"/>
            <w:tcBorders>
              <w:tl2br w:val="nil"/>
              <w:tr2bl w:val="nil"/>
            </w:tcBorders>
            <w:noWrap/>
            <w:vAlign w:val="center"/>
          </w:tcPr>
          <w:p w14:paraId="3BF3F96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4A7FF09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488" w:type="dxa"/>
            <w:tcBorders>
              <w:tl2br w:val="nil"/>
              <w:tr2bl w:val="nil"/>
            </w:tcBorders>
            <w:noWrap/>
            <w:vAlign w:val="center"/>
          </w:tcPr>
          <w:p w14:paraId="68DDA01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700" w:type="dxa"/>
            <w:tcBorders>
              <w:tl2br w:val="nil"/>
              <w:tr2bl w:val="nil"/>
            </w:tcBorders>
            <w:noWrap/>
            <w:vAlign w:val="center"/>
          </w:tcPr>
          <w:p w14:paraId="66CC681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治理责任单位</w:t>
            </w:r>
          </w:p>
        </w:tc>
        <w:tc>
          <w:tcPr>
            <w:tcW w:w="1167" w:type="dxa"/>
            <w:tcBorders>
              <w:tl2br w:val="nil"/>
              <w:tr2bl w:val="nil"/>
            </w:tcBorders>
            <w:noWrap/>
            <w:vAlign w:val="center"/>
          </w:tcPr>
          <w:p w14:paraId="601EED8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5E66F11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692" w:type="dxa"/>
            <w:tcBorders>
              <w:tl2br w:val="nil"/>
              <w:tr2bl w:val="nil"/>
            </w:tcBorders>
            <w:noWrap/>
            <w:vAlign w:val="center"/>
          </w:tcPr>
          <w:p w14:paraId="5C0FAD67">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590" w:type="dxa"/>
            <w:tcBorders>
              <w:tl2br w:val="nil"/>
              <w:tr2bl w:val="nil"/>
            </w:tcBorders>
            <w:noWrap/>
            <w:vAlign w:val="center"/>
          </w:tcPr>
          <w:p w14:paraId="2F6CE0A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tcBorders>
              <w:tl2br w:val="nil"/>
              <w:tr2bl w:val="nil"/>
            </w:tcBorders>
            <w:noWrap/>
            <w:vAlign w:val="center"/>
          </w:tcPr>
          <w:p w14:paraId="51E4039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103C0951">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14C9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0" w:type="dxa"/>
            <w:tcBorders>
              <w:tl2br w:val="nil"/>
              <w:tr2bl w:val="nil"/>
            </w:tcBorders>
            <w:noWrap/>
            <w:vAlign w:val="center"/>
          </w:tcPr>
          <w:p w14:paraId="2AF3555C">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1</w:t>
            </w:r>
          </w:p>
        </w:tc>
        <w:tc>
          <w:tcPr>
            <w:tcW w:w="2592" w:type="dxa"/>
            <w:tcBorders>
              <w:tl2br w:val="nil"/>
              <w:tr2bl w:val="nil"/>
            </w:tcBorders>
            <w:noWrap/>
            <w:vAlign w:val="center"/>
          </w:tcPr>
          <w:p w14:paraId="2748BB5D">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陕西安盛达物流有限公司</w:t>
            </w:r>
            <w:r>
              <w:rPr>
                <w:rFonts w:hint="eastAsia" w:ascii="仿宋" w:hAnsi="仿宋" w:cs="仿宋"/>
                <w:color w:val="auto"/>
                <w:kern w:val="2"/>
                <w:sz w:val="24"/>
                <w:szCs w:val="24"/>
                <w:highlight w:val="none"/>
                <w:lang w:val="en-US" w:eastAsia="zh-CN" w:bidi="ar-SA"/>
              </w:rPr>
              <w:t>连续5月确定为高风险等级安全隐患</w:t>
            </w:r>
          </w:p>
        </w:tc>
        <w:tc>
          <w:tcPr>
            <w:tcW w:w="736" w:type="dxa"/>
            <w:tcBorders>
              <w:tl2br w:val="nil"/>
              <w:tr2bl w:val="nil"/>
            </w:tcBorders>
            <w:noWrap/>
            <w:vAlign w:val="center"/>
          </w:tcPr>
          <w:p w14:paraId="5EAF25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交通</w:t>
            </w:r>
          </w:p>
          <w:p w14:paraId="0F6576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none"/>
                <w:u w:val="none"/>
                <w:lang w:val="en-US" w:eastAsia="zh-CN"/>
              </w:rPr>
            </w:pPr>
            <w:r>
              <w:rPr>
                <w:rFonts w:hint="eastAsia" w:ascii="仿宋" w:hAnsi="仿宋" w:cs="仿宋"/>
                <w:color w:val="auto"/>
                <w:kern w:val="2"/>
                <w:sz w:val="24"/>
                <w:szCs w:val="24"/>
                <w:highlight w:val="none"/>
                <w:lang w:val="en-US" w:eastAsia="zh-CN" w:bidi="ar-SA"/>
              </w:rPr>
              <w:t>运输</w:t>
            </w:r>
          </w:p>
        </w:tc>
        <w:tc>
          <w:tcPr>
            <w:tcW w:w="3488" w:type="dxa"/>
            <w:tcBorders>
              <w:tl2br w:val="nil"/>
              <w:tr2bl w:val="nil"/>
            </w:tcBorders>
            <w:noWrap/>
            <w:vAlign w:val="center"/>
          </w:tcPr>
          <w:p w14:paraId="6DDC9316">
            <w:pPr>
              <w:pStyle w:val="4"/>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自2024年4月份至8月份连续5个月被市公安局交警支队确定为高风险等级。</w:t>
            </w:r>
          </w:p>
        </w:tc>
        <w:tc>
          <w:tcPr>
            <w:tcW w:w="1700" w:type="dxa"/>
            <w:tcBorders>
              <w:tl2br w:val="nil"/>
              <w:tr2bl w:val="nil"/>
            </w:tcBorders>
            <w:noWrap/>
            <w:vAlign w:val="center"/>
          </w:tcPr>
          <w:p w14:paraId="14C17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陕西安盛达物流有限公司</w:t>
            </w:r>
          </w:p>
        </w:tc>
        <w:tc>
          <w:tcPr>
            <w:tcW w:w="1167" w:type="dxa"/>
            <w:tcBorders>
              <w:tl2br w:val="nil"/>
              <w:tr2bl w:val="nil"/>
            </w:tcBorders>
            <w:noWrap/>
            <w:vAlign w:val="center"/>
          </w:tcPr>
          <w:p w14:paraId="55927513">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仿宋" w:hAnsi="仿宋" w:cs="仿宋"/>
                <w:b w:val="0"/>
                <w:bCs w:val="0"/>
                <w:color w:val="auto"/>
                <w:sz w:val="24"/>
                <w:szCs w:val="24"/>
                <w:lang w:eastAsia="zh-CN"/>
              </w:rPr>
            </w:pPr>
            <w:r>
              <w:rPr>
                <w:rFonts w:hint="eastAsia" w:ascii="仿宋" w:hAnsi="仿宋" w:cs="仿宋"/>
                <w:b w:val="0"/>
                <w:bCs w:val="0"/>
                <w:color w:val="auto"/>
                <w:sz w:val="24"/>
                <w:szCs w:val="24"/>
                <w:lang w:eastAsia="zh-CN"/>
              </w:rPr>
              <w:t>榆林市</w:t>
            </w:r>
          </w:p>
          <w:p w14:paraId="202B1D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auto"/>
                <w:sz w:val="24"/>
                <w:szCs w:val="24"/>
              </w:rPr>
              <w:t>人民政府</w:t>
            </w:r>
          </w:p>
        </w:tc>
        <w:tc>
          <w:tcPr>
            <w:tcW w:w="1692" w:type="dxa"/>
            <w:tcBorders>
              <w:tl2br w:val="nil"/>
              <w:tr2bl w:val="nil"/>
            </w:tcBorders>
            <w:noWrap/>
            <w:vAlign w:val="center"/>
          </w:tcPr>
          <w:p w14:paraId="5F5CF6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auto"/>
                <w:kern w:val="2"/>
                <w:sz w:val="24"/>
                <w:szCs w:val="24"/>
                <w:lang w:val="en-US" w:eastAsia="zh-CN" w:bidi="ar-SA"/>
              </w:rPr>
              <w:t>省交通运输厅</w:t>
            </w:r>
          </w:p>
        </w:tc>
        <w:tc>
          <w:tcPr>
            <w:tcW w:w="1590" w:type="dxa"/>
            <w:tcBorders>
              <w:tl2br w:val="nil"/>
              <w:tr2bl w:val="nil"/>
            </w:tcBorders>
            <w:noWrap/>
            <w:vAlign w:val="center"/>
          </w:tcPr>
          <w:p w14:paraId="337A2D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61525D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6802804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同意</w:t>
            </w:r>
          </w:p>
          <w:p w14:paraId="63E9E8A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销号</w:t>
            </w:r>
          </w:p>
        </w:tc>
      </w:tr>
      <w:tr w14:paraId="6536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40" w:type="dxa"/>
            <w:tcBorders>
              <w:tl2br w:val="nil"/>
              <w:tr2bl w:val="nil"/>
            </w:tcBorders>
            <w:noWrap/>
            <w:vAlign w:val="center"/>
          </w:tcPr>
          <w:p w14:paraId="113CD29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2</w:t>
            </w:r>
          </w:p>
        </w:tc>
        <w:tc>
          <w:tcPr>
            <w:tcW w:w="2592" w:type="dxa"/>
            <w:tcBorders>
              <w:tl2br w:val="nil"/>
              <w:tr2bl w:val="nil"/>
            </w:tcBorders>
            <w:noWrap/>
            <w:vAlign w:val="center"/>
          </w:tcPr>
          <w:p w14:paraId="0B78BBFB">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陕西邦田化工有限公司矿山正常生产情况下，主通风机未连续运转安全隐患</w:t>
            </w:r>
          </w:p>
        </w:tc>
        <w:tc>
          <w:tcPr>
            <w:tcW w:w="736" w:type="dxa"/>
            <w:tcBorders>
              <w:tl2br w:val="nil"/>
              <w:tr2bl w:val="nil"/>
            </w:tcBorders>
            <w:noWrap/>
            <w:vAlign w:val="center"/>
          </w:tcPr>
          <w:p w14:paraId="6BBC3EB5">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772C6A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yellow"/>
                <w:u w:val="none"/>
                <w:lang w:val="en-US" w:eastAsia="zh-CN"/>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7E7B415C">
            <w:pPr>
              <w:pStyle w:val="4"/>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val="0"/>
                <w:color w:val="000000"/>
                <w:sz w:val="24"/>
                <w:szCs w:val="24"/>
                <w:lang w:val="en-US" w:eastAsia="zh-CN"/>
              </w:rPr>
              <w:t>矿山设计在1050m回风平硐和1000m回风平硐分别安装主通风机，两台主通风机共同运行组成通风系统。但在矿山正常生产期间，1000m回风平硐主通风机未开机运行。</w:t>
            </w:r>
          </w:p>
        </w:tc>
        <w:tc>
          <w:tcPr>
            <w:tcW w:w="1700" w:type="dxa"/>
            <w:tcBorders>
              <w:tl2br w:val="nil"/>
              <w:tr2bl w:val="nil"/>
            </w:tcBorders>
            <w:noWrap/>
            <w:vAlign w:val="center"/>
          </w:tcPr>
          <w:p w14:paraId="19336966">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陕西邦田化工</w:t>
            </w:r>
          </w:p>
          <w:p w14:paraId="0BD8CF92">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有限公司</w:t>
            </w:r>
          </w:p>
        </w:tc>
        <w:tc>
          <w:tcPr>
            <w:tcW w:w="1167" w:type="dxa"/>
            <w:tcBorders>
              <w:tl2br w:val="nil"/>
              <w:tr2bl w:val="nil"/>
            </w:tcBorders>
            <w:noWrap/>
            <w:vAlign w:val="center"/>
          </w:tcPr>
          <w:p w14:paraId="1F302EF3">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78F0E81A">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3FCFA1B3">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5AFFCC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337E03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7D11BBC1">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1C83A347">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7F98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40" w:type="dxa"/>
            <w:tcBorders>
              <w:tl2br w:val="nil"/>
              <w:tr2bl w:val="nil"/>
            </w:tcBorders>
            <w:noWrap/>
            <w:vAlign w:val="center"/>
          </w:tcPr>
          <w:p w14:paraId="6BDD06D0">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3</w:t>
            </w:r>
          </w:p>
        </w:tc>
        <w:tc>
          <w:tcPr>
            <w:tcW w:w="2592" w:type="dxa"/>
            <w:tcBorders>
              <w:tl2br w:val="nil"/>
              <w:tr2bl w:val="nil"/>
            </w:tcBorders>
            <w:noWrap/>
            <w:vAlign w:val="center"/>
          </w:tcPr>
          <w:p w14:paraId="5898F530">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陕西邦田化工有限公司矿山安全出口不能正常使用安全隐患</w:t>
            </w:r>
          </w:p>
        </w:tc>
        <w:tc>
          <w:tcPr>
            <w:tcW w:w="736" w:type="dxa"/>
            <w:tcBorders>
              <w:tl2br w:val="nil"/>
              <w:tr2bl w:val="nil"/>
            </w:tcBorders>
            <w:noWrap/>
            <w:vAlign w:val="center"/>
          </w:tcPr>
          <w:p w14:paraId="1A756C5C">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5A9ADC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yellow"/>
                <w:u w:val="none"/>
                <w:lang w:val="en-US" w:eastAsia="zh-CN"/>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012452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1000m及1050m回风平硐口行人风门无法打开，950m中段西侧通风行人天井梯子断开，直通地表及中段的安全出口均不畅通。</w:t>
            </w:r>
          </w:p>
        </w:tc>
        <w:tc>
          <w:tcPr>
            <w:tcW w:w="1700" w:type="dxa"/>
            <w:tcBorders>
              <w:tl2br w:val="nil"/>
              <w:tr2bl w:val="nil"/>
            </w:tcBorders>
            <w:noWrap/>
            <w:vAlign w:val="center"/>
          </w:tcPr>
          <w:p w14:paraId="4F49A83F">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陕西邦田化工</w:t>
            </w:r>
          </w:p>
          <w:p w14:paraId="5B011FF3">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有限公司</w:t>
            </w:r>
          </w:p>
        </w:tc>
        <w:tc>
          <w:tcPr>
            <w:tcW w:w="1167" w:type="dxa"/>
            <w:tcBorders>
              <w:tl2br w:val="nil"/>
              <w:tr2bl w:val="nil"/>
            </w:tcBorders>
            <w:noWrap/>
            <w:vAlign w:val="center"/>
          </w:tcPr>
          <w:p w14:paraId="1C830B9D">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4F57C037">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7B12CC62">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6B81A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68CBE7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1F35CC55">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037A3DF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2B3A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40" w:type="dxa"/>
            <w:tcBorders>
              <w:tl2br w:val="nil"/>
              <w:tr2bl w:val="nil"/>
            </w:tcBorders>
            <w:noWrap/>
            <w:vAlign w:val="center"/>
          </w:tcPr>
          <w:p w14:paraId="3DF4EAE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4</w:t>
            </w:r>
          </w:p>
        </w:tc>
        <w:tc>
          <w:tcPr>
            <w:tcW w:w="2592" w:type="dxa"/>
            <w:tcBorders>
              <w:tl2br w:val="nil"/>
              <w:tr2bl w:val="nil"/>
            </w:tcBorders>
            <w:noWrap/>
            <w:vAlign w:val="center"/>
          </w:tcPr>
          <w:p w14:paraId="736FF1E3">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陕西省勉县金辉实业有限公司李家沟金矿安全出口数量不足安全隐患</w:t>
            </w:r>
          </w:p>
        </w:tc>
        <w:tc>
          <w:tcPr>
            <w:tcW w:w="736" w:type="dxa"/>
            <w:tcBorders>
              <w:tl2br w:val="nil"/>
              <w:tr2bl w:val="nil"/>
            </w:tcBorders>
            <w:noWrap/>
            <w:vAlign w:val="center"/>
          </w:tcPr>
          <w:p w14:paraId="56E59884">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5A2EB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56A03DF0">
            <w:pPr>
              <w:pStyle w:val="4"/>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val="0"/>
                <w:color w:val="000000"/>
                <w:sz w:val="24"/>
                <w:szCs w:val="24"/>
                <w:lang w:val="en-US" w:eastAsia="zh-CN"/>
              </w:rPr>
              <w:t>矿山井下直通地表畅通的安全出口数量少于两个。</w:t>
            </w:r>
          </w:p>
        </w:tc>
        <w:tc>
          <w:tcPr>
            <w:tcW w:w="1700" w:type="dxa"/>
            <w:tcBorders>
              <w:tl2br w:val="nil"/>
              <w:tr2bl w:val="nil"/>
            </w:tcBorders>
            <w:noWrap/>
            <w:vAlign w:val="center"/>
          </w:tcPr>
          <w:p w14:paraId="5DBA095C">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陕西省勉县金辉实业有限公司李家沟金矿</w:t>
            </w:r>
          </w:p>
        </w:tc>
        <w:tc>
          <w:tcPr>
            <w:tcW w:w="1167" w:type="dxa"/>
            <w:tcBorders>
              <w:tl2br w:val="nil"/>
              <w:tr2bl w:val="nil"/>
            </w:tcBorders>
            <w:noWrap/>
            <w:vAlign w:val="center"/>
          </w:tcPr>
          <w:p w14:paraId="348D7A51">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0DF49447">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5F6F074E">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6D6373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16DF3B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73361997">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2F55638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1CF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840" w:type="dxa"/>
            <w:tcBorders>
              <w:tl2br w:val="nil"/>
              <w:tr2bl w:val="nil"/>
            </w:tcBorders>
            <w:noWrap/>
            <w:vAlign w:val="center"/>
          </w:tcPr>
          <w:p w14:paraId="4EE95340">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5</w:t>
            </w:r>
          </w:p>
        </w:tc>
        <w:tc>
          <w:tcPr>
            <w:tcW w:w="2592" w:type="dxa"/>
            <w:tcBorders>
              <w:tl2br w:val="nil"/>
              <w:tr2bl w:val="nil"/>
            </w:tcBorders>
            <w:noWrap/>
            <w:vAlign w:val="center"/>
          </w:tcPr>
          <w:p w14:paraId="5E7DABC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陕西省勉县金辉实业有限公司李家沟金矿安全监测监控系统、人员定位系统建设不完善安全隐患</w:t>
            </w:r>
          </w:p>
        </w:tc>
        <w:tc>
          <w:tcPr>
            <w:tcW w:w="736" w:type="dxa"/>
            <w:tcBorders>
              <w:tl2br w:val="nil"/>
              <w:tr2bl w:val="nil"/>
            </w:tcBorders>
            <w:noWrap/>
            <w:vAlign w:val="center"/>
          </w:tcPr>
          <w:p w14:paraId="4B350127">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49072B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5D7FCD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矿山监测监控系统及人员定位系统建设不完善，未覆盖东部PD1040区域。</w:t>
            </w:r>
          </w:p>
        </w:tc>
        <w:tc>
          <w:tcPr>
            <w:tcW w:w="1700" w:type="dxa"/>
            <w:tcBorders>
              <w:tl2br w:val="nil"/>
              <w:tr2bl w:val="nil"/>
            </w:tcBorders>
            <w:noWrap/>
            <w:vAlign w:val="center"/>
          </w:tcPr>
          <w:p w14:paraId="6A56C5B4">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陕西省勉县金辉实业有限公司李家沟金矿</w:t>
            </w:r>
          </w:p>
        </w:tc>
        <w:tc>
          <w:tcPr>
            <w:tcW w:w="1167" w:type="dxa"/>
            <w:tcBorders>
              <w:tl2br w:val="nil"/>
              <w:tr2bl w:val="nil"/>
            </w:tcBorders>
            <w:noWrap/>
            <w:vAlign w:val="center"/>
          </w:tcPr>
          <w:p w14:paraId="75DF7755">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6CD8C970">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6AF0FFB5">
            <w:pPr>
              <w:widowControl/>
              <w:kinsoku w:val="0"/>
              <w:autoSpaceDE w:val="0"/>
              <w:autoSpaceDN w:val="0"/>
              <w:adjustRightInd/>
              <w:snapToGrid/>
              <w:spacing w:line="300" w:lineRule="exact"/>
              <w:jc w:val="center"/>
              <w:textAlignment w:val="baseline"/>
              <w:rPr>
                <w:rFonts w:hint="eastAsia" w:ascii="仿宋" w:hAnsi="仿宋" w:cs="仿宋"/>
                <w:b w:val="0"/>
                <w:bCs w:val="0"/>
                <w:color w:val="000000"/>
                <w:kern w:val="2"/>
                <w:sz w:val="24"/>
                <w:szCs w:val="24"/>
                <w:lang w:val="en-US" w:eastAsia="zh-CN" w:bidi="ar-SA"/>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02698F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46CBAB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color w:val="000000"/>
                <w:sz w:val="24"/>
                <w:szCs w:val="24"/>
                <w:highlight w:val="none"/>
                <w:lang w:val="en-US" w:eastAsia="zh-CN"/>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6A99D6D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3B34D1C4">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5B3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40" w:type="dxa"/>
            <w:tcBorders>
              <w:tl2br w:val="nil"/>
              <w:tr2bl w:val="nil"/>
            </w:tcBorders>
            <w:noWrap/>
            <w:vAlign w:val="center"/>
          </w:tcPr>
          <w:p w14:paraId="2837816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6</w:t>
            </w:r>
          </w:p>
        </w:tc>
        <w:tc>
          <w:tcPr>
            <w:tcW w:w="2592" w:type="dxa"/>
            <w:tcBorders>
              <w:tl2br w:val="nil"/>
              <w:tr2bl w:val="nil"/>
            </w:tcBorders>
            <w:noWrap/>
            <w:vAlign w:val="center"/>
          </w:tcPr>
          <w:p w14:paraId="1FF7ACF0">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陕西省勉县金辉实业有限公司李家沟金矿正常生产情况下，主通风机未连续运转安全隐患</w:t>
            </w:r>
          </w:p>
        </w:tc>
        <w:tc>
          <w:tcPr>
            <w:tcW w:w="736" w:type="dxa"/>
            <w:tcBorders>
              <w:tl2br w:val="nil"/>
              <w:tr2bl w:val="nil"/>
            </w:tcBorders>
            <w:noWrap/>
            <w:vAlign w:val="center"/>
          </w:tcPr>
          <w:p w14:paraId="7E636AB8">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31B76B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yellow"/>
                <w:u w:val="none"/>
                <w:lang w:val="en-US" w:eastAsia="zh-CN"/>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7FDCDD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矿山仅适用井下西侧PD1075回风平硐主风机，井下东侧PD1040回风平硐主风机未连续运转。</w:t>
            </w:r>
          </w:p>
        </w:tc>
        <w:tc>
          <w:tcPr>
            <w:tcW w:w="1700" w:type="dxa"/>
            <w:tcBorders>
              <w:tl2br w:val="nil"/>
              <w:tr2bl w:val="nil"/>
            </w:tcBorders>
            <w:noWrap/>
            <w:vAlign w:val="center"/>
          </w:tcPr>
          <w:p w14:paraId="5ABA64E7">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陕西省勉县金辉实业有限公司李家沟金矿</w:t>
            </w:r>
          </w:p>
        </w:tc>
        <w:tc>
          <w:tcPr>
            <w:tcW w:w="1167" w:type="dxa"/>
            <w:tcBorders>
              <w:tl2br w:val="nil"/>
              <w:tr2bl w:val="nil"/>
            </w:tcBorders>
            <w:noWrap/>
            <w:vAlign w:val="center"/>
          </w:tcPr>
          <w:p w14:paraId="3E692016">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673BDEF4">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633A475C">
            <w:pPr>
              <w:widowControl/>
              <w:kinsoku w:val="0"/>
              <w:autoSpaceDE w:val="0"/>
              <w:autoSpaceDN w:val="0"/>
              <w:adjustRightInd/>
              <w:snapToGrid/>
              <w:spacing w:line="300" w:lineRule="exact"/>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2F53C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2B80E5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646BBC8B">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6A9ED8DD">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1763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40" w:type="dxa"/>
            <w:tcBorders>
              <w:tl2br w:val="nil"/>
              <w:tr2bl w:val="nil"/>
            </w:tcBorders>
            <w:noWrap/>
            <w:vAlign w:val="center"/>
          </w:tcPr>
          <w:p w14:paraId="5B9F123D">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7</w:t>
            </w:r>
          </w:p>
        </w:tc>
        <w:tc>
          <w:tcPr>
            <w:tcW w:w="2592" w:type="dxa"/>
            <w:tcBorders>
              <w:tl2br w:val="nil"/>
              <w:tr2bl w:val="nil"/>
            </w:tcBorders>
            <w:noWrap/>
            <w:vAlign w:val="center"/>
          </w:tcPr>
          <w:p w14:paraId="68D30A32">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略阳杨家坝矿业有限公司矿山正常生产情况下，主通风机未连续运转、关闭主通风机未向调度室和企业主要负责人报告、主通风设施不能在10分钟之内实现矿井反风，反风试验周期超过1年安全隐患</w:t>
            </w:r>
          </w:p>
        </w:tc>
        <w:tc>
          <w:tcPr>
            <w:tcW w:w="736" w:type="dxa"/>
            <w:tcBorders>
              <w:tl2br w:val="nil"/>
              <w:tr2bl w:val="nil"/>
            </w:tcBorders>
            <w:noWrap/>
            <w:vAlign w:val="center"/>
          </w:tcPr>
          <w:p w14:paraId="7B268B69">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15FE5F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yellow"/>
                <w:u w:val="none"/>
                <w:lang w:val="en-US" w:eastAsia="zh-CN"/>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540BD8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矿山主通风机正常情况下未连续运转，且关闭主要通风机未向调度室和企业主要负责人报告；企业未开展相关反风试验，反风试验周期超过一年。根据监控系统数据显示，矿山主要通风机连续多天存在每天关闭通风机的情况；根据矿山主风机运行监测数据及2023和2024年反风试验报告，2024年12月份与2023年12月份出具的反风试验报告数据高度一致，存在数据造假且反风试验期间与风机运行记录不匹配，主通风机实现矿井反风时间超过10min。</w:t>
            </w:r>
          </w:p>
        </w:tc>
        <w:tc>
          <w:tcPr>
            <w:tcW w:w="1700" w:type="dxa"/>
            <w:tcBorders>
              <w:tl2br w:val="nil"/>
              <w:tr2bl w:val="nil"/>
            </w:tcBorders>
            <w:noWrap/>
            <w:vAlign w:val="center"/>
          </w:tcPr>
          <w:p w14:paraId="2AF78845">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略阳杨家坝矿业有限公司</w:t>
            </w:r>
          </w:p>
        </w:tc>
        <w:tc>
          <w:tcPr>
            <w:tcW w:w="1167" w:type="dxa"/>
            <w:tcBorders>
              <w:tl2br w:val="nil"/>
              <w:tr2bl w:val="nil"/>
            </w:tcBorders>
            <w:noWrap/>
            <w:vAlign w:val="center"/>
          </w:tcPr>
          <w:p w14:paraId="5E7B5E3C">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08E7E0D7">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62B24458">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5D22E6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4449D2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311EE0D9">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7C3CAA1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676D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40" w:type="dxa"/>
            <w:tcBorders>
              <w:tl2br w:val="nil"/>
              <w:tr2bl w:val="nil"/>
            </w:tcBorders>
            <w:noWrap/>
            <w:vAlign w:val="center"/>
          </w:tcPr>
          <w:p w14:paraId="34A0B98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8</w:t>
            </w:r>
          </w:p>
        </w:tc>
        <w:tc>
          <w:tcPr>
            <w:tcW w:w="2592" w:type="dxa"/>
            <w:tcBorders>
              <w:tl2br w:val="nil"/>
              <w:tr2bl w:val="nil"/>
            </w:tcBorders>
            <w:noWrap/>
            <w:vAlign w:val="center"/>
          </w:tcPr>
          <w:p w14:paraId="4E26FFE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略阳杨家坝矿业有限公司作业人员未随身携带和正确使用自救器安全隐患</w:t>
            </w:r>
          </w:p>
        </w:tc>
        <w:tc>
          <w:tcPr>
            <w:tcW w:w="736" w:type="dxa"/>
            <w:tcBorders>
              <w:tl2br w:val="nil"/>
              <w:tr2bl w:val="nil"/>
            </w:tcBorders>
            <w:noWrap/>
            <w:vAlign w:val="center"/>
          </w:tcPr>
          <w:p w14:paraId="0ADA909D">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18823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yellow"/>
                <w:u w:val="none"/>
                <w:lang w:val="en-US" w:eastAsia="zh-CN"/>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38FA93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井下735m中段多批次作业人员未随身携带自救器，且现场对其中3人进行了自救器使用考核，均不能正确使用自救器。</w:t>
            </w:r>
          </w:p>
        </w:tc>
        <w:tc>
          <w:tcPr>
            <w:tcW w:w="1700" w:type="dxa"/>
            <w:tcBorders>
              <w:tl2br w:val="nil"/>
              <w:tr2bl w:val="nil"/>
            </w:tcBorders>
            <w:noWrap/>
            <w:vAlign w:val="center"/>
          </w:tcPr>
          <w:p w14:paraId="30664B5B">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略阳杨家坝矿业有限公司</w:t>
            </w:r>
          </w:p>
        </w:tc>
        <w:tc>
          <w:tcPr>
            <w:tcW w:w="1167" w:type="dxa"/>
            <w:tcBorders>
              <w:tl2br w:val="nil"/>
              <w:tr2bl w:val="nil"/>
            </w:tcBorders>
            <w:noWrap/>
            <w:vAlign w:val="center"/>
          </w:tcPr>
          <w:p w14:paraId="5C51E9EF">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76F15A6B">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1E43155C">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090014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5C295A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55F54A99">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01C7710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销号</w:t>
            </w:r>
          </w:p>
        </w:tc>
      </w:tr>
      <w:tr w14:paraId="4B6D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40" w:type="dxa"/>
            <w:tcBorders>
              <w:tl2br w:val="nil"/>
              <w:tr2bl w:val="nil"/>
            </w:tcBorders>
            <w:noWrap/>
            <w:vAlign w:val="center"/>
          </w:tcPr>
          <w:p w14:paraId="3AF84CA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cs="仿宋"/>
                <w:i w:val="0"/>
                <w:color w:val="000000"/>
                <w:kern w:val="0"/>
                <w:sz w:val="24"/>
                <w:szCs w:val="24"/>
                <w:highlight w:val="none"/>
                <w:u w:val="none"/>
                <w:lang w:val="en-US" w:eastAsia="zh-CN"/>
              </w:rPr>
            </w:pPr>
            <w:r>
              <w:rPr>
                <w:rFonts w:hint="eastAsia" w:ascii="仿宋" w:hAnsi="仿宋" w:cs="仿宋"/>
                <w:i w:val="0"/>
                <w:color w:val="000000"/>
                <w:kern w:val="0"/>
                <w:sz w:val="24"/>
                <w:szCs w:val="24"/>
                <w:highlight w:val="none"/>
                <w:u w:val="none"/>
                <w:lang w:val="en-US" w:eastAsia="zh-CN"/>
              </w:rPr>
              <w:t>9</w:t>
            </w:r>
          </w:p>
        </w:tc>
        <w:tc>
          <w:tcPr>
            <w:tcW w:w="2592" w:type="dxa"/>
            <w:tcBorders>
              <w:tl2br w:val="nil"/>
              <w:tr2bl w:val="nil"/>
            </w:tcBorders>
            <w:noWrap/>
            <w:vAlign w:val="center"/>
          </w:tcPr>
          <w:p w14:paraId="26F5018E">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cs="仿宋"/>
                <w:b w:val="0"/>
                <w:bCs w:val="0"/>
                <w:color w:val="000000"/>
                <w:sz w:val="24"/>
                <w:szCs w:val="24"/>
                <w:lang w:val="en-US" w:eastAsia="zh-CN"/>
              </w:rPr>
              <w:t>略阳杨家坝矿业有限公司副井提升机手柄零位闭锁保护失效安全隐患</w:t>
            </w:r>
          </w:p>
        </w:tc>
        <w:tc>
          <w:tcPr>
            <w:tcW w:w="736" w:type="dxa"/>
            <w:tcBorders>
              <w:tl2br w:val="nil"/>
              <w:tr2bl w:val="nil"/>
            </w:tcBorders>
            <w:noWrap/>
            <w:vAlign w:val="center"/>
          </w:tcPr>
          <w:p w14:paraId="5B9BBBC6">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非煤</w:t>
            </w:r>
          </w:p>
          <w:p w14:paraId="197D7C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i w:val="0"/>
                <w:color w:val="000000"/>
                <w:kern w:val="0"/>
                <w:sz w:val="24"/>
                <w:szCs w:val="24"/>
                <w:highlight w:val="yellow"/>
                <w:u w:val="none"/>
                <w:lang w:val="en-US" w:eastAsia="zh-CN"/>
              </w:rPr>
            </w:pPr>
            <w:r>
              <w:rPr>
                <w:rFonts w:hint="eastAsia" w:ascii="仿宋" w:hAnsi="仿宋" w:cs="仿宋"/>
                <w:b w:val="0"/>
                <w:bCs w:val="0"/>
                <w:color w:val="000000"/>
                <w:sz w:val="24"/>
                <w:szCs w:val="24"/>
                <w:lang w:val="en-US" w:eastAsia="zh-CN"/>
              </w:rPr>
              <w:t>矿山</w:t>
            </w:r>
          </w:p>
        </w:tc>
        <w:tc>
          <w:tcPr>
            <w:tcW w:w="3488" w:type="dxa"/>
            <w:tcBorders>
              <w:tl2br w:val="nil"/>
              <w:tr2bl w:val="nil"/>
            </w:tcBorders>
            <w:noWrap/>
            <w:vAlign w:val="center"/>
          </w:tcPr>
          <w:p w14:paraId="5A311A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副井提升机手柄零位闭锁保护失效。在制动手柄和主令手柄处于非零位状态时，提升机安全回路处于接通状态，信号系统能发出信号直接开车。</w:t>
            </w:r>
          </w:p>
        </w:tc>
        <w:tc>
          <w:tcPr>
            <w:tcW w:w="1700" w:type="dxa"/>
            <w:tcBorders>
              <w:tl2br w:val="nil"/>
              <w:tr2bl w:val="nil"/>
            </w:tcBorders>
            <w:noWrap/>
            <w:vAlign w:val="center"/>
          </w:tcPr>
          <w:p w14:paraId="08299111">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略阳杨家坝矿业有限公司</w:t>
            </w:r>
          </w:p>
        </w:tc>
        <w:tc>
          <w:tcPr>
            <w:tcW w:w="1167" w:type="dxa"/>
            <w:tcBorders>
              <w:tl2br w:val="nil"/>
              <w:tr2bl w:val="nil"/>
            </w:tcBorders>
            <w:noWrap/>
            <w:vAlign w:val="center"/>
          </w:tcPr>
          <w:p w14:paraId="74B4092A">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eastAsia="zh-CN"/>
              </w:rPr>
            </w:pPr>
            <w:r>
              <w:rPr>
                <w:rFonts w:hint="eastAsia" w:ascii="仿宋" w:hAnsi="仿宋" w:cs="仿宋"/>
                <w:b w:val="0"/>
                <w:bCs w:val="0"/>
                <w:color w:val="000000"/>
                <w:sz w:val="24"/>
                <w:szCs w:val="24"/>
                <w:lang w:eastAsia="zh-CN"/>
              </w:rPr>
              <w:t>汉中市</w:t>
            </w:r>
          </w:p>
          <w:p w14:paraId="19F301F2">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rPr>
            </w:pPr>
            <w:r>
              <w:rPr>
                <w:rFonts w:hint="eastAsia" w:ascii="仿宋" w:hAnsi="仿宋" w:cs="仿宋"/>
                <w:b w:val="0"/>
                <w:bCs w:val="0"/>
                <w:color w:val="000000"/>
                <w:sz w:val="24"/>
                <w:szCs w:val="24"/>
              </w:rPr>
              <w:t>人民政府</w:t>
            </w:r>
          </w:p>
        </w:tc>
        <w:tc>
          <w:tcPr>
            <w:tcW w:w="1692" w:type="dxa"/>
            <w:tcBorders>
              <w:tl2br w:val="nil"/>
              <w:tr2bl w:val="nil"/>
            </w:tcBorders>
            <w:noWrap/>
            <w:vAlign w:val="center"/>
          </w:tcPr>
          <w:p w14:paraId="138C8D96">
            <w:pPr>
              <w:widowControl/>
              <w:kinsoku w:val="0"/>
              <w:autoSpaceDE w:val="0"/>
              <w:autoSpaceDN w:val="0"/>
              <w:adjustRightInd/>
              <w:snapToGrid/>
              <w:spacing w:line="300" w:lineRule="exact"/>
              <w:jc w:val="center"/>
              <w:textAlignment w:val="baseline"/>
              <w:rPr>
                <w:rFonts w:hint="eastAsia" w:ascii="仿宋" w:hAnsi="仿宋" w:cs="仿宋"/>
                <w:b w:val="0"/>
                <w:bCs w:val="0"/>
                <w:color w:val="000000"/>
                <w:sz w:val="24"/>
                <w:szCs w:val="24"/>
                <w:lang w:val="en-US" w:eastAsia="zh-CN"/>
              </w:rPr>
            </w:pPr>
            <w:r>
              <w:rPr>
                <w:rFonts w:hint="eastAsia" w:ascii="仿宋" w:hAnsi="仿宋" w:cs="仿宋"/>
                <w:b w:val="0"/>
                <w:bCs w:val="0"/>
                <w:color w:val="000000"/>
                <w:sz w:val="24"/>
                <w:szCs w:val="24"/>
                <w:lang w:val="en-US" w:eastAsia="zh-CN"/>
              </w:rPr>
              <w:t>省应急管理厅</w:t>
            </w:r>
          </w:p>
        </w:tc>
        <w:tc>
          <w:tcPr>
            <w:tcW w:w="1590" w:type="dxa"/>
            <w:tcBorders>
              <w:tl2br w:val="nil"/>
              <w:tr2bl w:val="nil"/>
            </w:tcBorders>
            <w:noWrap/>
            <w:vAlign w:val="center"/>
          </w:tcPr>
          <w:p w14:paraId="2E97B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58E41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cs="仿宋"/>
                <w:color w:val="000000"/>
                <w:kern w:val="2"/>
                <w:sz w:val="24"/>
                <w:szCs w:val="24"/>
                <w:highlight w:val="none"/>
                <w:lang w:val="en-US" w:eastAsia="zh-CN" w:bidi="ar-SA"/>
              </w:rPr>
            </w:pPr>
            <w:r>
              <w:rPr>
                <w:rFonts w:hint="eastAsia" w:ascii="仿宋" w:hAnsi="仿宋" w:cs="仿宋"/>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月3</w:t>
            </w:r>
            <w:r>
              <w:rPr>
                <w:rFonts w:hint="eastAsia" w:ascii="仿宋" w:hAnsi="仿宋" w:cs="仿宋"/>
                <w:color w:val="000000"/>
                <w:kern w:val="2"/>
                <w:sz w:val="24"/>
                <w:szCs w:val="24"/>
                <w:highlight w:val="none"/>
                <w:lang w:val="en-US" w:eastAsia="zh-CN" w:bidi="ar-SA"/>
              </w:rPr>
              <w:t>0</w:t>
            </w:r>
            <w:r>
              <w:rPr>
                <w:rFonts w:hint="eastAsia" w:ascii="仿宋" w:hAnsi="仿宋" w:eastAsia="仿宋" w:cs="仿宋"/>
                <w:color w:val="000000"/>
                <w:kern w:val="2"/>
                <w:sz w:val="24"/>
                <w:szCs w:val="24"/>
                <w:highlight w:val="none"/>
                <w:lang w:val="en-US" w:eastAsia="zh-CN" w:bidi="ar-SA"/>
              </w:rPr>
              <w:t>日</w:t>
            </w:r>
          </w:p>
        </w:tc>
        <w:tc>
          <w:tcPr>
            <w:tcW w:w="1140" w:type="dxa"/>
            <w:tcBorders>
              <w:tl2br w:val="nil"/>
              <w:tr2bl w:val="nil"/>
            </w:tcBorders>
            <w:noWrap/>
            <w:vAlign w:val="center"/>
          </w:tcPr>
          <w:p w14:paraId="5A8254D4">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同意</w:t>
            </w:r>
          </w:p>
          <w:p w14:paraId="404DAB01">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销号</w:t>
            </w:r>
          </w:p>
        </w:tc>
      </w:tr>
    </w:tbl>
    <w:p w14:paraId="2A96E89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416A2"/>
    <w:rsid w:val="4B14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pPr>
      <w:widowControl/>
      <w:spacing w:after="160" w:line="240" w:lineRule="exact"/>
      <w:jc w:val="left"/>
    </w:pPr>
    <w:rPr>
      <w:rFonts w:ascii="Verdana" w:hAnsi="Verdana" w:eastAsia="仿宋_GB2312"/>
      <w:kern w:val="0"/>
      <w:sz w:val="24"/>
    </w:rPr>
  </w:style>
  <w:style w:type="paragraph" w:styleId="3">
    <w:name w:val="Document Map"/>
    <w:basedOn w:val="1"/>
    <w:qFormat/>
    <w:uiPriority w:val="0"/>
    <w:pPr>
      <w:shd w:val="clear" w:color="000000" w:fill="000080"/>
    </w:pPr>
  </w:style>
  <w:style w:type="paragraph" w:styleId="4">
    <w:name w:val="Body Text"/>
    <w:basedOn w:val="1"/>
    <w:next w:val="1"/>
    <w:qFormat/>
    <w:uiPriority w:val="0"/>
    <w:pPr>
      <w:spacing w:after="120"/>
    </w:pPr>
    <w:rPr>
      <w:rFonts w:eastAsia="方正仿宋简体"/>
      <w:szCs w:val="20"/>
    </w:rPr>
  </w:style>
  <w:style w:type="paragraph" w:styleId="5">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2025-06-12T09:10:00Z</dcterms:created>
  <dc:creator>word科科～</dc:creator>
  <cp:lastModifiedBy>word科科～</cp:lastModifiedBy>
  <dcterms:modified xsi:type="dcterms:W3CDTF">2025-06-12T09:12:05Z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C70718BD45D1404589BEEBE84B6E1BFD_11</vt:lpwstr>
  </property>
  <property fmtid="{D5CDD505-2E9C-101B-9397-08002B2CF9AE}" pid="4" name="KSOTemplateDocerSaveRecord">
    <vt:lpwstr>eyJoZGlkIjoiNzFhNDgyZTBlMGU5NjA3NDU3ZGQ3YzIwMjc0YzNmMDgiLCJ1c2VySWQiOiIzMDgxMTM4MTMifQ==</vt:lpwstr>
  </property>
</Properties>
</file>