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60E51">
      <w:pPr>
        <w:pStyle w:val="9"/>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jc w:val="left"/>
        <w:textAlignment w:val="auto"/>
        <w:rPr>
          <w:rFonts w:hint="eastAsia"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eastAsia="zh-CN" w:bidi="ar"/>
        </w:rPr>
        <w:t>附件</w:t>
      </w:r>
      <w:r>
        <w:rPr>
          <w:rFonts w:hint="eastAsia" w:ascii="黑体" w:hAnsi="黑体" w:eastAsia="黑体" w:cs="黑体"/>
          <w:b w:val="0"/>
          <w:bCs/>
          <w:color w:val="000000"/>
          <w:kern w:val="0"/>
          <w:sz w:val="32"/>
          <w:szCs w:val="32"/>
          <w:lang w:val="en-US" w:eastAsia="zh-CN" w:bidi="ar"/>
        </w:rPr>
        <w:t>1</w:t>
      </w:r>
    </w:p>
    <w:p w14:paraId="12E18E7C">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color w:val="000000"/>
          <w:kern w:val="0"/>
          <w:sz w:val="44"/>
          <w:szCs w:val="44"/>
          <w:lang w:bidi="ar"/>
        </w:rPr>
      </w:pPr>
    </w:p>
    <w:p w14:paraId="5C9CBF16">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陕西省工贸小</w:t>
      </w:r>
      <w:r>
        <w:rPr>
          <w:rFonts w:hint="eastAsia" w:ascii="方正小标宋简体" w:hAnsi="方正小标宋简体" w:eastAsia="方正小标宋简体" w:cs="方正小标宋简体"/>
          <w:b w:val="0"/>
          <w:bCs/>
          <w:color w:val="000000"/>
          <w:kern w:val="0"/>
          <w:sz w:val="44"/>
          <w:szCs w:val="44"/>
          <w:lang w:eastAsia="zh-CN" w:bidi="ar"/>
        </w:rPr>
        <w:t>型</w:t>
      </w:r>
      <w:r>
        <w:rPr>
          <w:rFonts w:hint="eastAsia" w:ascii="方正小标宋简体" w:hAnsi="方正小标宋简体" w:eastAsia="方正小标宋简体" w:cs="方正小标宋简体"/>
          <w:b w:val="0"/>
          <w:bCs/>
          <w:color w:val="000000"/>
          <w:kern w:val="0"/>
          <w:sz w:val="44"/>
          <w:szCs w:val="44"/>
          <w:lang w:bidi="ar"/>
        </w:rPr>
        <w:t>企业安全风险</w:t>
      </w:r>
    </w:p>
    <w:p w14:paraId="6C8B3031">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分级管控和隐患排查治理双重预防机制</w:t>
      </w:r>
    </w:p>
    <w:p w14:paraId="0F0D0661">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建设指南（试行）</w:t>
      </w:r>
    </w:p>
    <w:p w14:paraId="337B5348">
      <w:pPr>
        <w:pStyle w:val="3"/>
        <w:keepNext w:val="0"/>
        <w:keepLines w:val="0"/>
        <w:pageBreakBefore w:val="0"/>
        <w:kinsoku/>
        <w:wordWrap/>
        <w:topLinePunct w:val="0"/>
        <w:bidi w:val="0"/>
        <w:adjustRightInd/>
        <w:spacing w:line="560" w:lineRule="exact"/>
        <w:ind w:left="0" w:leftChars="0"/>
        <w:textAlignment w:val="auto"/>
        <w:rPr>
          <w:rFonts w:hint="eastAsia" w:ascii="方正小标宋简体" w:hAnsi="方正小标宋简体" w:eastAsia="方正小标宋简体" w:cs="方正小标宋简体"/>
          <w:bCs/>
          <w:color w:val="000000"/>
          <w:sz w:val="44"/>
          <w:szCs w:val="44"/>
        </w:rPr>
      </w:pPr>
    </w:p>
    <w:p w14:paraId="5E745279">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黑体" w:hAnsi="黑体" w:eastAsia="黑体" w:cs="黑体"/>
          <w:bCs/>
          <w:color w:val="000000"/>
          <w:kern w:val="0"/>
          <w:szCs w:val="32"/>
          <w:lang w:bidi="ar"/>
        </w:rPr>
        <w:t>第一条</w:t>
      </w:r>
      <w:r>
        <w:rPr>
          <w:rFonts w:hint="eastAsia" w:ascii="仿宋" w:hAnsi="仿宋" w:cs="仿宋"/>
          <w:b/>
          <w:color w:val="000000"/>
          <w:kern w:val="0"/>
          <w:szCs w:val="32"/>
          <w:lang w:bidi="ar"/>
        </w:rPr>
        <w:t xml:space="preserve">  </w:t>
      </w:r>
      <w:r>
        <w:rPr>
          <w:rFonts w:hint="eastAsia" w:ascii="仿宋" w:hAnsi="仿宋" w:cs="仿宋"/>
          <w:color w:val="000000"/>
          <w:kern w:val="0"/>
          <w:szCs w:val="32"/>
          <w:lang w:bidi="ar"/>
        </w:rPr>
        <w:t>为</w:t>
      </w:r>
      <w:r>
        <w:rPr>
          <w:rFonts w:hint="eastAsia" w:ascii="仿宋" w:hAnsi="仿宋" w:cs="仿宋"/>
          <w:color w:val="000000"/>
          <w:kern w:val="0"/>
          <w:szCs w:val="32"/>
          <w:lang w:eastAsia="zh-CN" w:bidi="ar"/>
        </w:rPr>
        <w:t>深入推进我省从业人员</w:t>
      </w:r>
      <w:r>
        <w:rPr>
          <w:rFonts w:hint="eastAsia" w:ascii="仿宋" w:hAnsi="仿宋" w:cs="仿宋"/>
          <w:color w:val="000000"/>
          <w:kern w:val="0"/>
          <w:szCs w:val="32"/>
          <w:lang w:bidi="ar"/>
        </w:rPr>
        <w:t>20人</w:t>
      </w:r>
      <w:r>
        <w:rPr>
          <w:rFonts w:hint="eastAsia" w:ascii="仿宋" w:hAnsi="仿宋" w:cs="仿宋"/>
          <w:color w:val="000000"/>
          <w:kern w:val="0"/>
          <w:szCs w:val="32"/>
          <w:lang w:val="en-US" w:eastAsia="zh-CN" w:bidi="ar"/>
        </w:rPr>
        <w:t>（含）</w:t>
      </w:r>
      <w:r>
        <w:rPr>
          <w:rFonts w:hint="eastAsia" w:ascii="仿宋" w:hAnsi="仿宋" w:cs="仿宋"/>
          <w:color w:val="000000"/>
          <w:kern w:val="0"/>
          <w:szCs w:val="32"/>
          <w:lang w:bidi="ar"/>
        </w:rPr>
        <w:t>以上</w:t>
      </w:r>
      <w:r>
        <w:rPr>
          <w:rFonts w:hint="eastAsia" w:ascii="仿宋" w:hAnsi="仿宋" w:cs="仿宋"/>
          <w:color w:val="000000"/>
          <w:kern w:val="0"/>
          <w:szCs w:val="32"/>
          <w:lang w:val="en-US" w:eastAsia="zh-CN" w:bidi="ar"/>
        </w:rPr>
        <w:t>1</w:t>
      </w:r>
      <w:r>
        <w:rPr>
          <w:rFonts w:hint="eastAsia" w:ascii="仿宋" w:hAnsi="仿宋" w:cs="仿宋"/>
          <w:color w:val="000000"/>
          <w:kern w:val="0"/>
          <w:szCs w:val="32"/>
          <w:lang w:bidi="ar"/>
        </w:rPr>
        <w:t>00人</w:t>
      </w:r>
      <w:r>
        <w:rPr>
          <w:rFonts w:hint="eastAsia" w:ascii="仿宋" w:hAnsi="仿宋" w:cs="仿宋"/>
          <w:color w:val="000000"/>
          <w:kern w:val="0"/>
          <w:szCs w:val="32"/>
          <w:lang w:eastAsia="zh-CN" w:bidi="ar"/>
        </w:rPr>
        <w:t>（</w:t>
      </w:r>
      <w:r>
        <w:rPr>
          <w:rFonts w:hint="eastAsia" w:ascii="仿宋" w:hAnsi="仿宋" w:cs="仿宋"/>
          <w:color w:val="000000"/>
          <w:kern w:val="0"/>
          <w:szCs w:val="32"/>
          <w:lang w:val="en-US" w:eastAsia="zh-CN" w:bidi="ar"/>
        </w:rPr>
        <w:t>不含</w:t>
      </w:r>
      <w:r>
        <w:rPr>
          <w:rFonts w:hint="eastAsia" w:ascii="仿宋" w:hAnsi="仿宋" w:cs="仿宋"/>
          <w:color w:val="000000"/>
          <w:kern w:val="0"/>
          <w:szCs w:val="32"/>
          <w:lang w:eastAsia="zh-CN" w:bidi="ar"/>
        </w:rPr>
        <w:t>）</w:t>
      </w:r>
      <w:r>
        <w:rPr>
          <w:rFonts w:hint="eastAsia" w:ascii="仿宋" w:hAnsi="仿宋" w:cs="仿宋"/>
          <w:color w:val="000000"/>
          <w:kern w:val="0"/>
          <w:szCs w:val="32"/>
          <w:lang w:bidi="ar"/>
        </w:rPr>
        <w:t>以下</w:t>
      </w:r>
      <w:r>
        <w:rPr>
          <w:rFonts w:hint="eastAsia" w:ascii="仿宋" w:hAnsi="仿宋" w:cs="仿宋"/>
          <w:color w:val="000000"/>
          <w:kern w:val="0"/>
          <w:szCs w:val="32"/>
          <w:lang w:val="en-US" w:eastAsia="zh-CN" w:bidi="ar"/>
        </w:rPr>
        <w:t>的</w:t>
      </w:r>
      <w:r>
        <w:rPr>
          <w:rFonts w:hint="eastAsia" w:ascii="仿宋" w:hAnsi="仿宋" w:cs="仿宋"/>
          <w:color w:val="000000"/>
          <w:kern w:val="0"/>
          <w:szCs w:val="32"/>
          <w:lang w:bidi="ar"/>
        </w:rPr>
        <w:t>工贸</w:t>
      </w:r>
      <w:r>
        <w:rPr>
          <w:rFonts w:hint="eastAsia" w:ascii="仿宋" w:hAnsi="仿宋" w:cs="仿宋"/>
          <w:color w:val="000000"/>
          <w:kern w:val="0"/>
          <w:szCs w:val="32"/>
          <w:lang w:val="en-US" w:eastAsia="zh-CN" w:bidi="ar"/>
        </w:rPr>
        <w:t>小型企业</w:t>
      </w:r>
      <w:r>
        <w:rPr>
          <w:rFonts w:hint="eastAsia" w:ascii="仿宋" w:hAnsi="仿宋" w:cs="仿宋"/>
          <w:color w:val="000000"/>
          <w:kern w:val="0"/>
          <w:szCs w:val="32"/>
          <w:lang w:bidi="ar"/>
        </w:rPr>
        <w:t>安全风险分级管控与隐患排查治理双重预防机制（以下简称双重预防机制）建设，提高安全生产管理水平，根据《安全生产法》</w:t>
      </w:r>
      <w:r>
        <w:rPr>
          <w:rFonts w:hint="eastAsia" w:ascii="仿宋" w:hAnsi="仿宋" w:cs="仿宋"/>
          <w:color w:val="000000"/>
          <w:kern w:val="0"/>
          <w:szCs w:val="32"/>
          <w:shd w:val="clear" w:color="auto" w:fill="FFFFFF"/>
          <w:lang w:bidi="ar"/>
        </w:rPr>
        <w:t>《国务院安委会办公室关于实施遏制重特大事故工作指南构建双重预防机制的意见》（安委办〔2016〕11号）及</w:t>
      </w:r>
      <w:r>
        <w:rPr>
          <w:rFonts w:hint="eastAsia" w:ascii="仿宋" w:hAnsi="仿宋" w:cs="仿宋"/>
          <w:color w:val="000000"/>
          <w:kern w:val="0"/>
          <w:szCs w:val="32"/>
          <w:lang w:bidi="ar"/>
        </w:rPr>
        <w:t>《安全生产事故隐患排查治理暂行规定》（原国家安监总局令第16号）《工贸企业重大事故隐患判定标准》（应急部令第10号）等相关规定，制定本指南。</w:t>
      </w:r>
    </w:p>
    <w:p w14:paraId="7997437C">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黑体" w:hAnsi="黑体" w:eastAsia="黑体" w:cs="黑体"/>
          <w:bCs/>
          <w:color w:val="000000"/>
          <w:kern w:val="0"/>
          <w:szCs w:val="32"/>
          <w:lang w:bidi="ar"/>
        </w:rPr>
        <w:t>第</w:t>
      </w:r>
      <w:r>
        <w:rPr>
          <w:rFonts w:hint="eastAsia" w:ascii="黑体" w:hAnsi="黑体" w:eastAsia="黑体" w:cs="黑体"/>
          <w:bCs/>
          <w:color w:val="000000"/>
          <w:kern w:val="0"/>
          <w:szCs w:val="32"/>
          <w:lang w:val="en-US" w:eastAsia="zh-CN" w:bidi="ar"/>
        </w:rPr>
        <w:t>二</w:t>
      </w:r>
      <w:r>
        <w:rPr>
          <w:rFonts w:hint="eastAsia" w:ascii="黑体" w:hAnsi="黑体" w:eastAsia="黑体" w:cs="黑体"/>
          <w:bCs/>
          <w:color w:val="000000"/>
          <w:kern w:val="0"/>
          <w:szCs w:val="32"/>
          <w:lang w:bidi="ar"/>
        </w:rPr>
        <w:t>条</w:t>
      </w:r>
      <w:r>
        <w:rPr>
          <w:rFonts w:hint="eastAsia" w:ascii="仿宋" w:hAnsi="仿宋" w:cs="仿宋"/>
          <w:color w:val="000000"/>
          <w:kern w:val="0"/>
          <w:szCs w:val="32"/>
          <w:lang w:bidi="ar"/>
        </w:rPr>
        <w:t xml:space="preserve">  企业双重预防机制建设应坚持的原则</w:t>
      </w:r>
    </w:p>
    <w:p w14:paraId="0446ADD4">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kern w:val="0"/>
          <w:szCs w:val="32"/>
          <w:lang w:bidi="ar"/>
        </w:rPr>
      </w:pPr>
      <w:r>
        <w:rPr>
          <w:rFonts w:hint="eastAsia" w:ascii="楷体" w:hAnsi="楷体" w:eastAsia="楷体" w:cs="楷体"/>
          <w:color w:val="000000"/>
          <w:szCs w:val="32"/>
        </w:rPr>
        <w:t>（一）</w:t>
      </w:r>
      <w:r>
        <w:rPr>
          <w:rFonts w:hint="eastAsia" w:ascii="楷体" w:hAnsi="楷体" w:eastAsia="楷体" w:cs="楷体"/>
          <w:color w:val="000000"/>
          <w:kern w:val="0"/>
          <w:szCs w:val="32"/>
          <w:lang w:bidi="ar"/>
        </w:rPr>
        <w:t>全员参与原则。</w:t>
      </w:r>
      <w:r>
        <w:rPr>
          <w:rFonts w:hint="eastAsia" w:ascii="仿宋" w:hAnsi="仿宋" w:cs="仿宋"/>
          <w:color w:val="000000"/>
          <w:kern w:val="0"/>
          <w:szCs w:val="32"/>
          <w:lang w:bidi="ar"/>
        </w:rPr>
        <w:t>企业应设立专门工作机构</w:t>
      </w:r>
      <w:r>
        <w:rPr>
          <w:rFonts w:hint="eastAsia" w:ascii="仿宋" w:hAnsi="仿宋" w:cs="仿宋"/>
          <w:color w:val="000000"/>
          <w:kern w:val="0"/>
          <w:szCs w:val="32"/>
          <w:lang w:eastAsia="zh-CN" w:bidi="ar"/>
        </w:rPr>
        <w:t>或</w:t>
      </w:r>
      <w:r>
        <w:rPr>
          <w:rFonts w:hint="eastAsia" w:ascii="仿宋" w:hAnsi="仿宋" w:cs="仿宋"/>
          <w:color w:val="000000"/>
          <w:kern w:val="0"/>
          <w:szCs w:val="32"/>
          <w:lang w:bidi="ar"/>
        </w:rPr>
        <w:t>配备专兼职工作人员</w:t>
      </w:r>
      <w:r>
        <w:rPr>
          <w:rFonts w:hint="eastAsia" w:ascii="仿宋" w:hAnsi="仿宋" w:cs="仿宋"/>
          <w:color w:val="000000"/>
          <w:kern w:val="0"/>
          <w:szCs w:val="32"/>
          <w:lang w:val="en-US" w:eastAsia="zh-CN" w:bidi="ar"/>
        </w:rPr>
        <w:t>负责</w:t>
      </w:r>
      <w:r>
        <w:rPr>
          <w:rFonts w:hint="eastAsia" w:ascii="仿宋" w:hAnsi="仿宋" w:cs="仿宋"/>
          <w:color w:val="000000"/>
          <w:kern w:val="0"/>
          <w:szCs w:val="32"/>
          <w:lang w:bidi="ar"/>
        </w:rPr>
        <w:t>双重预防机制建设，保证主要负责人至一线员工全员参与。</w:t>
      </w:r>
    </w:p>
    <w:p w14:paraId="20394639">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color w:val="000000"/>
          <w:szCs w:val="32"/>
        </w:rPr>
        <w:t>（二）</w:t>
      </w:r>
      <w:r>
        <w:rPr>
          <w:rFonts w:hint="eastAsia" w:ascii="楷体" w:hAnsi="楷体" w:eastAsia="楷体" w:cs="楷体"/>
          <w:color w:val="000000"/>
          <w:kern w:val="2"/>
          <w:szCs w:val="32"/>
          <w:lang w:bidi="ar"/>
        </w:rPr>
        <w:t>以岗位为核心的原则。</w:t>
      </w:r>
      <w:r>
        <w:rPr>
          <w:rFonts w:hint="eastAsia" w:ascii="仿宋" w:hAnsi="仿宋" w:cs="仿宋"/>
          <w:color w:val="000000"/>
          <w:kern w:val="0"/>
          <w:szCs w:val="32"/>
          <w:lang w:bidi="ar"/>
        </w:rPr>
        <w:t>企业应以岗位为核心进行</w:t>
      </w:r>
      <w:r>
        <w:rPr>
          <w:rFonts w:hint="eastAsia" w:ascii="仿宋" w:hAnsi="仿宋" w:cs="仿宋"/>
          <w:color w:val="000000"/>
          <w:kern w:val="0"/>
          <w:szCs w:val="32"/>
          <w:lang w:eastAsia="zh-CN" w:bidi="ar"/>
        </w:rPr>
        <w:t>危险源辨识</w:t>
      </w:r>
      <w:r>
        <w:rPr>
          <w:rFonts w:hint="eastAsia" w:ascii="仿宋" w:hAnsi="仿宋" w:cs="仿宋"/>
          <w:color w:val="000000"/>
          <w:kern w:val="0"/>
          <w:szCs w:val="32"/>
          <w:lang w:bidi="ar"/>
        </w:rPr>
        <w:t>、风险管控</w:t>
      </w:r>
      <w:r>
        <w:rPr>
          <w:rFonts w:hint="eastAsia" w:ascii="仿宋" w:hAnsi="仿宋" w:cs="仿宋"/>
          <w:color w:val="000000"/>
          <w:kern w:val="0"/>
          <w:szCs w:val="32"/>
          <w:lang w:val="en-US" w:eastAsia="zh-CN" w:bidi="ar"/>
        </w:rPr>
        <w:t>和</w:t>
      </w:r>
      <w:r>
        <w:rPr>
          <w:rFonts w:hint="eastAsia" w:ascii="仿宋" w:hAnsi="仿宋" w:cs="仿宋"/>
          <w:color w:val="000000"/>
          <w:kern w:val="0"/>
          <w:szCs w:val="32"/>
          <w:lang w:bidi="ar"/>
        </w:rPr>
        <w:t>隐患排查</w:t>
      </w:r>
      <w:r>
        <w:rPr>
          <w:rFonts w:hint="eastAsia" w:ascii="仿宋" w:hAnsi="仿宋" w:cs="仿宋"/>
          <w:color w:val="000000"/>
          <w:kern w:val="0"/>
          <w:szCs w:val="32"/>
          <w:lang w:eastAsia="zh-CN" w:bidi="ar"/>
        </w:rPr>
        <w:t>治理</w:t>
      </w:r>
      <w:r>
        <w:rPr>
          <w:rFonts w:hint="eastAsia" w:ascii="仿宋" w:hAnsi="仿宋" w:cs="仿宋"/>
          <w:color w:val="000000"/>
          <w:kern w:val="0"/>
          <w:szCs w:val="32"/>
          <w:lang w:bidi="ar"/>
        </w:rPr>
        <w:t>。</w:t>
      </w:r>
    </w:p>
    <w:p w14:paraId="0BBA767E">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黑体" w:hAnsi="黑体" w:eastAsia="黑体" w:cs="黑体"/>
          <w:bCs/>
          <w:color w:val="000000"/>
          <w:kern w:val="0"/>
          <w:szCs w:val="32"/>
          <w:lang w:bidi="ar"/>
        </w:rPr>
      </w:pPr>
      <w:r>
        <w:rPr>
          <w:rFonts w:hint="eastAsia" w:ascii="楷体" w:hAnsi="楷体" w:eastAsia="楷体" w:cs="楷体"/>
          <w:color w:val="000000"/>
          <w:szCs w:val="32"/>
        </w:rPr>
        <w:t>（三）</w:t>
      </w:r>
      <w:r>
        <w:rPr>
          <w:rFonts w:hint="eastAsia" w:ascii="楷体" w:hAnsi="楷体" w:eastAsia="楷体" w:cs="楷体"/>
          <w:color w:val="000000"/>
          <w:kern w:val="2"/>
          <w:szCs w:val="32"/>
          <w:lang w:bidi="ar"/>
        </w:rPr>
        <w:t>覆盖全部和重点突出的原则。</w:t>
      </w:r>
      <w:r>
        <w:rPr>
          <w:rFonts w:hint="eastAsia" w:ascii="仿宋" w:hAnsi="仿宋" w:cs="仿宋"/>
          <w:color w:val="000000"/>
          <w:kern w:val="0"/>
          <w:szCs w:val="32"/>
          <w:lang w:bidi="ar"/>
        </w:rPr>
        <w:t>企业</w:t>
      </w:r>
      <w:r>
        <w:rPr>
          <w:rFonts w:hint="eastAsia" w:ascii="仿宋" w:hAnsi="仿宋" w:cs="仿宋"/>
          <w:color w:val="000000"/>
          <w:kern w:val="0"/>
          <w:szCs w:val="32"/>
          <w:lang w:val="en-US" w:eastAsia="zh-CN" w:bidi="ar"/>
        </w:rPr>
        <w:t>危险源</w:t>
      </w:r>
      <w:r>
        <w:rPr>
          <w:rFonts w:hint="eastAsia" w:ascii="仿宋" w:hAnsi="仿宋" w:cs="仿宋"/>
          <w:color w:val="000000"/>
          <w:kern w:val="0"/>
          <w:szCs w:val="32"/>
          <w:lang w:eastAsia="zh-CN" w:bidi="ar"/>
        </w:rPr>
        <w:t>辨识应</w:t>
      </w:r>
      <w:r>
        <w:rPr>
          <w:rFonts w:hint="eastAsia" w:ascii="仿宋" w:hAnsi="仿宋" w:cs="仿宋"/>
          <w:color w:val="000000"/>
          <w:kern w:val="0"/>
          <w:szCs w:val="32"/>
          <w:lang w:bidi="ar"/>
        </w:rPr>
        <w:t>覆盖所有</w:t>
      </w:r>
      <w:r>
        <w:rPr>
          <w:rFonts w:hint="eastAsia" w:ascii="仿宋" w:hAnsi="仿宋" w:cs="仿宋"/>
          <w:color w:val="000000"/>
          <w:kern w:val="0"/>
          <w:szCs w:val="32"/>
          <w:lang w:val="en-US" w:eastAsia="zh-CN" w:bidi="ar"/>
        </w:rPr>
        <w:t>生产</w:t>
      </w:r>
      <w:r>
        <w:rPr>
          <w:rFonts w:hint="eastAsia" w:ascii="仿宋" w:hAnsi="仿宋" w:cs="仿宋"/>
          <w:color w:val="000000"/>
          <w:kern w:val="0"/>
          <w:szCs w:val="32"/>
          <w:lang w:bidi="ar"/>
        </w:rPr>
        <w:t>场所、设备设施、作业活动和岗位，重点突出重大及较大风险并重点管控。</w:t>
      </w:r>
    </w:p>
    <w:p w14:paraId="2B2C4BE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仿宋" w:hAnsi="仿宋" w:cs="仿宋"/>
          <w:color w:val="000000"/>
          <w:szCs w:val="32"/>
          <w:lang w:val="en-US" w:eastAsia="zh-CN"/>
        </w:rPr>
      </w:pPr>
      <w:r>
        <w:rPr>
          <w:rFonts w:hint="eastAsia" w:ascii="黑体" w:hAnsi="黑体" w:eastAsia="黑体" w:cs="黑体"/>
          <w:bCs/>
          <w:color w:val="000000"/>
          <w:kern w:val="0"/>
          <w:szCs w:val="32"/>
          <w:lang w:bidi="ar"/>
        </w:rPr>
        <w:t>第</w:t>
      </w:r>
      <w:r>
        <w:rPr>
          <w:rFonts w:hint="eastAsia" w:ascii="黑体" w:hAnsi="黑体" w:eastAsia="黑体" w:cs="黑体"/>
          <w:bCs/>
          <w:color w:val="000000"/>
          <w:kern w:val="0"/>
          <w:szCs w:val="32"/>
          <w:lang w:val="en-US" w:eastAsia="zh-CN" w:bidi="ar"/>
        </w:rPr>
        <w:t>三</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cs="仿宋"/>
          <w:color w:val="000000"/>
          <w:szCs w:val="32"/>
        </w:rPr>
        <w:t xml:space="preserve"> </w:t>
      </w:r>
      <w:r>
        <w:rPr>
          <w:rFonts w:hint="eastAsia" w:ascii="仿宋" w:hAnsi="仿宋" w:cs="仿宋"/>
          <w:color w:val="000000"/>
          <w:szCs w:val="32"/>
          <w:lang w:val="en-US" w:eastAsia="zh-CN"/>
        </w:rPr>
        <w:t>企业应建立健全安全风险分级管控和隐患排查治理相关制度。</w:t>
      </w:r>
    </w:p>
    <w:p w14:paraId="537EAF9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仿宋" w:hAnsi="仿宋" w:cs="仿宋"/>
          <w:color w:val="000000"/>
          <w:szCs w:val="32"/>
        </w:rPr>
      </w:pPr>
      <w:r>
        <w:rPr>
          <w:rFonts w:hint="eastAsia" w:ascii="黑体" w:hAnsi="黑体" w:eastAsia="黑体" w:cs="黑体"/>
          <w:color w:val="000000"/>
          <w:kern w:val="2"/>
          <w:sz w:val="32"/>
          <w:szCs w:val="32"/>
          <w:lang w:val="en-US" w:eastAsia="zh-CN" w:bidi="ar-SA"/>
        </w:rPr>
        <w:t xml:space="preserve">第四条  </w:t>
      </w:r>
      <w:r>
        <w:rPr>
          <w:rFonts w:hint="eastAsia" w:ascii="仿宋" w:hAnsi="仿宋" w:cs="仿宋"/>
          <w:color w:val="000000"/>
          <w:szCs w:val="32"/>
        </w:rPr>
        <w:t>双重预防机制建设应</w:t>
      </w:r>
      <w:r>
        <w:rPr>
          <w:rFonts w:hint="eastAsia" w:ascii="仿宋" w:hAnsi="仿宋" w:cs="仿宋"/>
          <w:color w:val="000000"/>
          <w:szCs w:val="32"/>
          <w:lang w:val="en-US" w:eastAsia="zh-CN"/>
        </w:rPr>
        <w:t>包括</w:t>
      </w:r>
      <w:r>
        <w:rPr>
          <w:rFonts w:hint="eastAsia" w:ascii="仿宋" w:hAnsi="仿宋" w:cs="仿宋"/>
          <w:color w:val="000000"/>
          <w:szCs w:val="32"/>
        </w:rPr>
        <w:t>：制定方案、全员培训、危险源辨识、风险</w:t>
      </w:r>
      <w:r>
        <w:rPr>
          <w:rFonts w:hint="eastAsia" w:ascii="仿宋" w:hAnsi="仿宋" w:cs="仿宋"/>
          <w:color w:val="000000"/>
          <w:szCs w:val="32"/>
          <w:lang w:eastAsia="zh-CN"/>
        </w:rPr>
        <w:t>等级</w:t>
      </w:r>
      <w:r>
        <w:rPr>
          <w:rFonts w:hint="eastAsia" w:ascii="仿宋" w:hAnsi="仿宋" w:cs="仿宋"/>
          <w:color w:val="000000"/>
          <w:szCs w:val="32"/>
        </w:rPr>
        <w:t>评估、风险管控</w:t>
      </w:r>
      <w:r>
        <w:rPr>
          <w:rFonts w:hint="eastAsia" w:ascii="仿宋" w:hAnsi="仿宋" w:cs="仿宋"/>
          <w:color w:val="000000"/>
          <w:szCs w:val="32"/>
          <w:lang w:eastAsia="zh-CN"/>
        </w:rPr>
        <w:t>责任</w:t>
      </w:r>
      <w:r>
        <w:rPr>
          <w:rFonts w:hint="eastAsia" w:ascii="仿宋" w:hAnsi="仿宋" w:cs="仿宋"/>
          <w:color w:val="000000"/>
          <w:szCs w:val="32"/>
          <w:lang w:val="en-US" w:eastAsia="zh-CN"/>
        </w:rPr>
        <w:t>与</w:t>
      </w:r>
      <w:r>
        <w:rPr>
          <w:rFonts w:hint="eastAsia" w:ascii="仿宋" w:hAnsi="仿宋" w:cs="仿宋"/>
          <w:color w:val="000000"/>
          <w:szCs w:val="32"/>
        </w:rPr>
        <w:t>措施确定</w:t>
      </w:r>
      <w:r>
        <w:rPr>
          <w:rFonts w:hint="eastAsia" w:ascii="仿宋" w:hAnsi="仿宋" w:cs="仿宋"/>
          <w:color w:val="000000"/>
          <w:szCs w:val="32"/>
          <w:lang w:eastAsia="zh-CN"/>
        </w:rPr>
        <w:t>、</w:t>
      </w:r>
      <w:r>
        <w:rPr>
          <w:rFonts w:hint="eastAsia" w:ascii="仿宋" w:hAnsi="仿宋" w:cs="仿宋"/>
          <w:color w:val="000000"/>
          <w:szCs w:val="32"/>
        </w:rPr>
        <w:t>安全风险图绘制、风险告知、隐患排查治理、持续改进。</w:t>
      </w:r>
    </w:p>
    <w:p w14:paraId="2F081C81">
      <w:pPr>
        <w:keepNext w:val="0"/>
        <w:keepLines w:val="0"/>
        <w:pageBreakBefore w:val="0"/>
        <w:widowControl w:val="0"/>
        <w:suppressLineNumbers w:val="0"/>
        <w:kinsoku/>
        <w:wordWrap/>
        <w:topLinePunct w:val="0"/>
        <w:bidi w:val="0"/>
        <w:snapToGrid/>
        <w:spacing w:after="0" w:line="240" w:lineRule="auto"/>
        <w:ind w:left="0" w:leftChars="0" w:firstLine="640" w:firstLineChars="200"/>
        <w:jc w:val="both"/>
        <w:textAlignment w:val="auto"/>
        <w:rPr>
          <w:rFonts w:hint="default" w:ascii="仿宋" w:hAnsi="仿宋" w:cs="仿宋"/>
          <w:bCs/>
          <w:color w:val="000000"/>
          <w:kern w:val="0"/>
          <w:szCs w:val="32"/>
          <w:lang w:val="en-US" w:eastAsia="zh-CN" w:bidi="ar"/>
        </w:rPr>
      </w:pPr>
      <w:r>
        <w:rPr>
          <w:rFonts w:hint="eastAsia" w:ascii="黑体" w:hAnsi="黑体" w:eastAsia="黑体" w:cs="黑体"/>
          <w:color w:val="000000"/>
          <w:szCs w:val="32"/>
        </w:rPr>
        <w:t>第</w:t>
      </w:r>
      <w:r>
        <w:rPr>
          <w:rFonts w:hint="eastAsia" w:ascii="黑体" w:hAnsi="黑体" w:eastAsia="黑体" w:cs="黑体"/>
          <w:color w:val="000000"/>
          <w:szCs w:val="32"/>
          <w:lang w:val="en-US" w:eastAsia="zh-CN"/>
        </w:rPr>
        <w:t>五</w:t>
      </w:r>
      <w:r>
        <w:rPr>
          <w:rFonts w:hint="eastAsia" w:ascii="黑体" w:hAnsi="黑体" w:eastAsia="黑体" w:cs="黑体"/>
          <w:color w:val="000000"/>
          <w:szCs w:val="32"/>
        </w:rPr>
        <w:t>条</w:t>
      </w:r>
      <w:r>
        <w:rPr>
          <w:rFonts w:hint="eastAsia" w:ascii="黑体" w:hAnsi="黑体" w:eastAsia="黑体" w:cs="黑体"/>
          <w:color w:val="000000"/>
          <w:szCs w:val="32"/>
          <w:lang w:val="en-US" w:eastAsia="zh-CN"/>
        </w:rPr>
        <w:t xml:space="preserve"> </w:t>
      </w:r>
      <w:r>
        <w:rPr>
          <w:rFonts w:hint="eastAsia" w:ascii="仿宋" w:hAnsi="仿宋" w:cs="仿宋"/>
          <w:bCs/>
          <w:color w:val="000000"/>
          <w:kern w:val="0"/>
          <w:szCs w:val="32"/>
          <w:lang w:bidi="ar"/>
        </w:rPr>
        <w:t xml:space="preserve"> </w:t>
      </w:r>
      <w:r>
        <w:rPr>
          <w:rFonts w:hint="eastAsia" w:ascii="仿宋" w:hAnsi="仿宋" w:cs="仿宋"/>
          <w:bCs/>
          <w:color w:val="000000"/>
          <w:kern w:val="0"/>
          <w:szCs w:val="32"/>
          <w:lang w:val="en-US" w:eastAsia="zh-CN" w:bidi="ar"/>
        </w:rPr>
        <w:t>制定方案。</w:t>
      </w:r>
      <w:r>
        <w:rPr>
          <w:rFonts w:hint="eastAsia" w:ascii="仿宋" w:hAnsi="仿宋" w:eastAsia="仿宋" w:cs="仿宋"/>
          <w:color w:val="000000"/>
          <w:kern w:val="2"/>
          <w:sz w:val="32"/>
          <w:szCs w:val="32"/>
          <w:lang w:val="en-US" w:eastAsia="zh-CN" w:bidi="ar-SA"/>
        </w:rPr>
        <w:t>企业应制定双重预防机制建设实施方案，</w:t>
      </w:r>
      <w:r>
        <w:rPr>
          <w:rFonts w:hint="eastAsia" w:ascii="仿宋" w:hAnsi="仿宋" w:cs="仿宋"/>
          <w:color w:val="000000"/>
          <w:kern w:val="2"/>
          <w:sz w:val="32"/>
          <w:szCs w:val="32"/>
          <w:lang w:val="en-US" w:eastAsia="zh-CN" w:bidi="ar-SA"/>
        </w:rPr>
        <w:t>内容</w:t>
      </w:r>
      <w:r>
        <w:rPr>
          <w:rFonts w:hint="eastAsia" w:ascii="仿宋" w:hAnsi="仿宋" w:eastAsia="仿宋" w:cs="仿宋"/>
          <w:color w:val="000000"/>
          <w:kern w:val="2"/>
          <w:sz w:val="32"/>
          <w:szCs w:val="32"/>
          <w:lang w:val="en-US" w:eastAsia="zh-CN" w:bidi="ar-SA"/>
        </w:rPr>
        <w:t>包括工作目标、组织机构、职责分工、实施步骤、工作任务、进度安排、经费预算、工作要求等。</w:t>
      </w:r>
    </w:p>
    <w:p w14:paraId="08198AA8">
      <w:pPr>
        <w:pStyle w:val="3"/>
        <w:keepNext w:val="0"/>
        <w:keepLines w:val="0"/>
        <w:pageBreakBefore w:val="0"/>
        <w:kinsoku/>
        <w:wordWrap/>
        <w:overflowPunct/>
        <w:topLinePunct w:val="0"/>
        <w:autoSpaceDE/>
        <w:autoSpaceDN/>
        <w:bidi w:val="0"/>
        <w:adjustRightInd/>
        <w:snapToGrid/>
        <w:spacing w:after="0" w:line="240" w:lineRule="auto"/>
        <w:ind w:left="0" w:leftChars="0"/>
        <w:textAlignment w:val="auto"/>
        <w:rPr>
          <w:rFonts w:hint="eastAsia" w:ascii="仿宋" w:hAnsi="仿宋" w:eastAsia="仿宋" w:cs="仿宋"/>
          <w:bCs/>
          <w:color w:val="000000"/>
          <w:spacing w:val="0"/>
          <w:kern w:val="0"/>
          <w:sz w:val="32"/>
          <w:szCs w:val="32"/>
          <w:lang w:val="en-US" w:eastAsia="zh-CN" w:bidi="ar"/>
        </w:rPr>
      </w:pPr>
      <w:r>
        <w:rPr>
          <w:rFonts w:hint="eastAsia" w:ascii="黑体" w:hAnsi="黑体" w:eastAsia="黑体" w:cs="黑体"/>
          <w:color w:val="000000"/>
          <w:spacing w:val="0"/>
          <w:kern w:val="2"/>
          <w:sz w:val="32"/>
          <w:szCs w:val="32"/>
          <w:lang w:val="en-US" w:eastAsia="zh-CN" w:bidi="ar-SA"/>
        </w:rPr>
        <w:t xml:space="preserve">第六条  </w:t>
      </w:r>
      <w:r>
        <w:rPr>
          <w:rFonts w:hint="eastAsia" w:ascii="仿宋" w:hAnsi="仿宋" w:eastAsia="仿宋" w:cs="仿宋"/>
          <w:bCs/>
          <w:color w:val="000000"/>
          <w:spacing w:val="0"/>
          <w:kern w:val="0"/>
          <w:sz w:val="32"/>
          <w:szCs w:val="32"/>
          <w:lang w:val="en-US" w:eastAsia="zh-CN" w:bidi="ar"/>
        </w:rPr>
        <w:t xml:space="preserve">全员培训。双重预防机制建设初期，企业应分层次、分阶段组织开展相关培训。培训内容主要包括：危险源辨识、风险评估、隐患排查治理的方法等。 </w:t>
      </w:r>
    </w:p>
    <w:p w14:paraId="6C85AF3F">
      <w:pPr>
        <w:pStyle w:val="3"/>
        <w:keepNext w:val="0"/>
        <w:keepLines w:val="0"/>
        <w:pageBreakBefore w:val="0"/>
        <w:kinsoku/>
        <w:wordWrap/>
        <w:overflowPunct/>
        <w:topLinePunct w:val="0"/>
        <w:autoSpaceDE/>
        <w:autoSpaceDN/>
        <w:bidi w:val="0"/>
        <w:adjustRightInd/>
        <w:snapToGrid/>
        <w:spacing w:after="0" w:line="240" w:lineRule="auto"/>
        <w:ind w:left="0" w:leftChars="0"/>
        <w:textAlignment w:val="auto"/>
        <w:rPr>
          <w:rFonts w:hint="eastAsia" w:ascii="仿宋" w:hAnsi="仿宋" w:eastAsia="仿宋" w:cs="仿宋"/>
          <w:bCs/>
          <w:color w:val="000000"/>
          <w:spacing w:val="0"/>
          <w:kern w:val="0"/>
          <w:sz w:val="32"/>
          <w:szCs w:val="32"/>
          <w:lang w:val="en-US" w:eastAsia="zh-CN" w:bidi="ar"/>
        </w:rPr>
      </w:pPr>
      <w:r>
        <w:rPr>
          <w:rFonts w:hint="eastAsia" w:ascii="仿宋" w:hAnsi="仿宋" w:eastAsia="仿宋" w:cs="仿宋"/>
          <w:bCs/>
          <w:color w:val="000000"/>
          <w:spacing w:val="0"/>
          <w:kern w:val="0"/>
          <w:sz w:val="32"/>
          <w:szCs w:val="32"/>
          <w:lang w:val="en-US" w:eastAsia="zh-CN" w:bidi="ar"/>
        </w:rPr>
        <w:t>双重预防机制建设完成后，企业应组织全员学习已识别出的风险信息，掌握本岗位风险管控措施、隐患排查项目、事故应急处置措施等。</w:t>
      </w:r>
    </w:p>
    <w:p w14:paraId="60F6A4A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sz w:val="32"/>
          <w:szCs w:val="32"/>
          <w:lang w:eastAsia="zh-CN"/>
        </w:rPr>
      </w:pPr>
      <w:r>
        <w:rPr>
          <w:rFonts w:hint="eastAsia" w:ascii="黑体" w:hAnsi="黑体" w:eastAsia="黑体" w:cs="黑体"/>
          <w:color w:val="000000"/>
          <w:szCs w:val="32"/>
        </w:rPr>
        <w:t>第</w:t>
      </w:r>
      <w:r>
        <w:rPr>
          <w:rFonts w:hint="eastAsia" w:ascii="黑体" w:hAnsi="黑体" w:eastAsia="黑体" w:cs="黑体"/>
          <w:color w:val="000000"/>
          <w:szCs w:val="32"/>
          <w:lang w:val="en-US" w:eastAsia="zh-CN"/>
        </w:rPr>
        <w:t>七</w:t>
      </w:r>
      <w:r>
        <w:rPr>
          <w:rFonts w:hint="eastAsia" w:ascii="黑体" w:hAnsi="黑体" w:eastAsia="黑体" w:cs="黑体"/>
          <w:color w:val="000000"/>
          <w:szCs w:val="32"/>
        </w:rPr>
        <w:t>条</w:t>
      </w:r>
      <w:r>
        <w:rPr>
          <w:rFonts w:hint="eastAsia" w:ascii="仿宋" w:hAnsi="仿宋" w:cs="仿宋"/>
          <w:color w:val="000000"/>
          <w:szCs w:val="32"/>
        </w:rPr>
        <w:t xml:space="preserve"> </w:t>
      </w:r>
      <w:r>
        <w:rPr>
          <w:rFonts w:hint="eastAsia" w:ascii="仿宋" w:hAnsi="仿宋" w:cs="仿宋"/>
          <w:color w:val="000000"/>
          <w:szCs w:val="32"/>
          <w:lang w:val="en-US" w:eastAsia="zh-CN"/>
        </w:rPr>
        <w:t xml:space="preserve"> </w:t>
      </w:r>
      <w:r>
        <w:rPr>
          <w:rFonts w:hint="eastAsia" w:ascii="仿宋" w:hAnsi="仿宋" w:eastAsia="仿宋" w:cs="仿宋"/>
          <w:bCs/>
          <w:color w:val="000000"/>
          <w:spacing w:val="0"/>
          <w:kern w:val="0"/>
          <w:sz w:val="32"/>
          <w:szCs w:val="32"/>
          <w:lang w:val="en-US" w:eastAsia="zh-CN" w:bidi="ar"/>
        </w:rPr>
        <w:t>危险源辨识。</w:t>
      </w:r>
      <w:r>
        <w:rPr>
          <w:rFonts w:hint="eastAsia" w:ascii="仿宋" w:hAnsi="仿宋" w:cs="仿宋"/>
          <w:color w:val="000000"/>
          <w:sz w:val="32"/>
          <w:szCs w:val="32"/>
          <w:lang w:val="en-US" w:eastAsia="zh-CN"/>
        </w:rPr>
        <w:t>企业</w:t>
      </w:r>
      <w:r>
        <w:rPr>
          <w:rFonts w:hint="eastAsia" w:ascii="仿宋" w:hAnsi="仿宋" w:eastAsia="仿宋" w:cs="仿宋"/>
          <w:color w:val="000000"/>
          <w:kern w:val="0"/>
          <w:sz w:val="32"/>
          <w:szCs w:val="32"/>
          <w:lang w:val="en-US" w:eastAsia="zh-CN" w:bidi="ar"/>
        </w:rPr>
        <w:t>应建立《设备设施清单》和《作业活动清单》</w:t>
      </w:r>
      <w:r>
        <w:rPr>
          <w:rFonts w:hint="eastAsia" w:ascii="仿宋" w:hAnsi="仿宋" w:cs="仿宋"/>
          <w:color w:val="000000"/>
          <w:kern w:val="0"/>
          <w:sz w:val="32"/>
          <w:szCs w:val="32"/>
          <w:lang w:val="en-US" w:eastAsia="zh-CN" w:bidi="ar"/>
        </w:rPr>
        <w:t>，并</w:t>
      </w:r>
      <w:r>
        <w:rPr>
          <w:rFonts w:hint="eastAsia" w:ascii="仿宋" w:hAnsi="仿宋" w:cs="仿宋"/>
          <w:color w:val="000000"/>
          <w:sz w:val="32"/>
          <w:szCs w:val="32"/>
          <w:lang w:val="en-US" w:eastAsia="zh-CN"/>
        </w:rPr>
        <w:t>结合“两个清单”，</w:t>
      </w:r>
      <w:r>
        <w:rPr>
          <w:rFonts w:hint="eastAsia" w:ascii="仿宋" w:hAnsi="仿宋" w:eastAsia="仿宋" w:cs="仿宋"/>
          <w:color w:val="000000"/>
          <w:kern w:val="0"/>
          <w:sz w:val="32"/>
          <w:szCs w:val="32"/>
          <w:lang w:val="en-US" w:eastAsia="zh-CN" w:bidi="ar"/>
        </w:rPr>
        <w:t>组织车间（部门）人员开展危险源辨识，辨识</w:t>
      </w:r>
      <w:r>
        <w:rPr>
          <w:rFonts w:hint="eastAsia" w:ascii="仿宋" w:hAnsi="仿宋" w:cs="仿宋"/>
          <w:color w:val="000000"/>
          <w:kern w:val="0"/>
          <w:sz w:val="32"/>
          <w:szCs w:val="32"/>
          <w:lang w:val="en-US" w:eastAsia="zh-CN" w:bidi="ar"/>
        </w:rPr>
        <w:t>应</w:t>
      </w:r>
      <w:r>
        <w:rPr>
          <w:rFonts w:hint="eastAsia" w:ascii="仿宋" w:hAnsi="仿宋" w:eastAsia="仿宋" w:cs="仿宋"/>
          <w:color w:val="000000"/>
          <w:kern w:val="0"/>
          <w:sz w:val="32"/>
          <w:szCs w:val="32"/>
          <w:lang w:val="en-US" w:eastAsia="zh-CN" w:bidi="ar"/>
        </w:rPr>
        <w:t>覆盖</w:t>
      </w:r>
      <w:r>
        <w:rPr>
          <w:rFonts w:hint="eastAsia" w:ascii="仿宋" w:hAnsi="仿宋" w:cs="仿宋"/>
          <w:color w:val="000000"/>
          <w:kern w:val="0"/>
          <w:sz w:val="32"/>
          <w:szCs w:val="32"/>
          <w:lang w:val="en-US" w:eastAsia="zh-CN" w:bidi="ar"/>
        </w:rPr>
        <w:t>各</w:t>
      </w:r>
      <w:r>
        <w:rPr>
          <w:rFonts w:hint="eastAsia" w:ascii="仿宋" w:hAnsi="仿宋" w:eastAsia="仿宋" w:cs="仿宋"/>
          <w:color w:val="000000"/>
          <w:kern w:val="0"/>
          <w:sz w:val="32"/>
          <w:szCs w:val="32"/>
          <w:lang w:val="en-US" w:eastAsia="zh-CN" w:bidi="ar"/>
        </w:rPr>
        <w:t>岗位</w:t>
      </w:r>
      <w:r>
        <w:rPr>
          <w:rFonts w:hint="eastAsia" w:ascii="仿宋" w:hAnsi="仿宋" w:cs="仿宋"/>
          <w:color w:val="000000"/>
          <w:sz w:val="32"/>
          <w:szCs w:val="32"/>
        </w:rPr>
        <w:t>作业范围内所有的活动、设备设施和场所</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并形成危险源辨识清单</w:t>
      </w:r>
      <w:r>
        <w:rPr>
          <w:rFonts w:hint="eastAsia" w:ascii="仿宋" w:hAnsi="仿宋" w:cs="仿宋"/>
          <w:color w:val="000000"/>
          <w:sz w:val="32"/>
          <w:szCs w:val="32"/>
          <w:lang w:eastAsia="zh-CN"/>
        </w:rPr>
        <w:t>。</w:t>
      </w:r>
    </w:p>
    <w:p w14:paraId="570CE639">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仿宋" w:hAnsi="仿宋" w:cs="仿宋"/>
          <w:color w:val="000000"/>
          <w:szCs w:val="32"/>
        </w:rPr>
        <w:t>当岗位作业活动和环境风险发生变化时应及时补充辨识。</w:t>
      </w:r>
    </w:p>
    <w:p w14:paraId="2D221B5A">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黑体" w:hAnsi="黑体" w:eastAsia="黑体" w:cs="黑体"/>
          <w:color w:val="000000"/>
          <w:szCs w:val="32"/>
        </w:rPr>
        <w:t>第</w:t>
      </w:r>
      <w:r>
        <w:rPr>
          <w:rFonts w:hint="eastAsia" w:ascii="黑体" w:hAnsi="黑体" w:eastAsia="黑体" w:cs="黑体"/>
          <w:color w:val="000000"/>
          <w:szCs w:val="32"/>
          <w:lang w:val="en-US" w:eastAsia="zh-CN"/>
        </w:rPr>
        <w:t>八</w:t>
      </w:r>
      <w:r>
        <w:rPr>
          <w:rFonts w:hint="eastAsia" w:ascii="黑体" w:hAnsi="黑体" w:eastAsia="黑体" w:cs="黑体"/>
          <w:color w:val="000000"/>
          <w:szCs w:val="32"/>
        </w:rPr>
        <w:t>条</w:t>
      </w:r>
      <w:r>
        <w:rPr>
          <w:rFonts w:hint="eastAsia" w:ascii="仿宋" w:hAnsi="仿宋" w:cs="仿宋"/>
          <w:color w:val="000000"/>
          <w:szCs w:val="32"/>
        </w:rPr>
        <w:t xml:space="preserve"> </w:t>
      </w:r>
      <w:r>
        <w:rPr>
          <w:rFonts w:hint="eastAsia" w:ascii="仿宋" w:hAnsi="仿宋" w:cs="仿宋"/>
          <w:color w:val="000000"/>
          <w:szCs w:val="32"/>
          <w:lang w:val="en-US" w:eastAsia="zh-CN"/>
        </w:rPr>
        <w:t xml:space="preserve"> </w:t>
      </w:r>
      <w:r>
        <w:rPr>
          <w:rFonts w:hint="eastAsia" w:ascii="仿宋" w:hAnsi="仿宋" w:cs="仿宋"/>
          <w:color w:val="000000"/>
          <w:szCs w:val="32"/>
        </w:rPr>
        <w:t>风险</w:t>
      </w:r>
      <w:r>
        <w:rPr>
          <w:rFonts w:hint="eastAsia" w:ascii="仿宋" w:hAnsi="仿宋" w:cs="仿宋"/>
          <w:color w:val="000000"/>
          <w:szCs w:val="32"/>
          <w:lang w:eastAsia="zh-CN"/>
        </w:rPr>
        <w:t>等级</w:t>
      </w:r>
      <w:r>
        <w:rPr>
          <w:rFonts w:hint="eastAsia" w:ascii="仿宋" w:hAnsi="仿宋" w:cs="仿宋"/>
          <w:color w:val="000000"/>
          <w:szCs w:val="32"/>
        </w:rPr>
        <w:t>评估。企业</w:t>
      </w:r>
      <w:r>
        <w:rPr>
          <w:rFonts w:hint="eastAsia" w:ascii="仿宋" w:hAnsi="仿宋" w:cs="仿宋"/>
          <w:color w:val="000000"/>
          <w:szCs w:val="32"/>
          <w:lang w:eastAsia="zh-CN"/>
        </w:rPr>
        <w:t>应选用适当的风险评估</w:t>
      </w:r>
      <w:r>
        <w:rPr>
          <w:rFonts w:hint="eastAsia" w:ascii="仿宋" w:hAnsi="仿宋" w:cs="仿宋"/>
          <w:color w:val="000000"/>
          <w:szCs w:val="32"/>
          <w:lang w:val="en-US" w:eastAsia="zh-CN"/>
        </w:rPr>
        <w:t>方法</w:t>
      </w:r>
      <w:r>
        <w:rPr>
          <w:rFonts w:hint="eastAsia" w:ascii="仿宋" w:hAnsi="仿宋" w:cs="仿宋"/>
          <w:color w:val="000000"/>
          <w:szCs w:val="32"/>
          <w:lang w:eastAsia="zh-CN"/>
        </w:rPr>
        <w:t>，</w:t>
      </w:r>
      <w:r>
        <w:rPr>
          <w:rFonts w:hint="eastAsia" w:ascii="仿宋" w:hAnsi="仿宋" w:cs="仿宋"/>
          <w:color w:val="000000"/>
          <w:szCs w:val="32"/>
        </w:rPr>
        <w:t>组织对</w:t>
      </w:r>
      <w:r>
        <w:rPr>
          <w:rFonts w:hint="eastAsia" w:ascii="仿宋" w:hAnsi="仿宋" w:cs="仿宋"/>
          <w:color w:val="000000"/>
          <w:szCs w:val="32"/>
          <w:lang w:eastAsia="zh-CN"/>
        </w:rPr>
        <w:t>安全</w:t>
      </w:r>
      <w:r>
        <w:rPr>
          <w:rFonts w:hint="eastAsia" w:ascii="仿宋" w:hAnsi="仿宋" w:cs="仿宋"/>
          <w:color w:val="000000"/>
          <w:szCs w:val="32"/>
        </w:rPr>
        <w:t>风险进行评估</w:t>
      </w:r>
      <w:r>
        <w:rPr>
          <w:rFonts w:hint="eastAsia" w:ascii="仿宋" w:hAnsi="仿宋" w:cs="仿宋"/>
          <w:color w:val="000000"/>
          <w:szCs w:val="32"/>
          <w:lang w:eastAsia="zh-CN"/>
        </w:rPr>
        <w:t>分级</w:t>
      </w:r>
      <w:r>
        <w:rPr>
          <w:rFonts w:hint="eastAsia" w:ascii="仿宋" w:hAnsi="仿宋" w:cs="仿宋"/>
          <w:color w:val="000000"/>
          <w:szCs w:val="32"/>
        </w:rPr>
        <w:t>。风险等级从高到低依次划分为重大风险、较大风险、一般风险和低风险，分别采用红、橙、黄、蓝四种颜色进行标示。</w:t>
      </w:r>
    </w:p>
    <w:p w14:paraId="06ACCD1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楷体" w:hAnsi="楷体" w:eastAsia="楷体" w:cs="楷体"/>
          <w:color w:val="000000"/>
          <w:szCs w:val="32"/>
        </w:rPr>
      </w:pPr>
      <w:r>
        <w:rPr>
          <w:rFonts w:hint="eastAsia" w:ascii="楷体" w:hAnsi="楷体" w:eastAsia="楷体" w:cs="楷体"/>
          <w:color w:val="000000"/>
          <w:szCs w:val="32"/>
        </w:rPr>
        <w:t>（一）有下列情形之一的，应</w:t>
      </w:r>
      <w:r>
        <w:rPr>
          <w:rFonts w:hint="eastAsia" w:ascii="楷体" w:hAnsi="楷体" w:eastAsia="楷体" w:cs="楷体"/>
          <w:color w:val="000000"/>
          <w:szCs w:val="32"/>
          <w:lang w:val="en-US" w:eastAsia="zh-CN"/>
        </w:rPr>
        <w:t>直接判定</w:t>
      </w:r>
      <w:r>
        <w:rPr>
          <w:rFonts w:hint="eastAsia" w:ascii="楷体" w:hAnsi="楷体" w:eastAsia="楷体" w:cs="楷体"/>
          <w:color w:val="000000"/>
          <w:szCs w:val="32"/>
        </w:rPr>
        <w:t>为重大风险</w:t>
      </w:r>
    </w:p>
    <w:p w14:paraId="1577DA9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rPr>
        <w:t>1.发生过死亡、重伤、重大财产损失事故</w:t>
      </w:r>
      <w:r>
        <w:rPr>
          <w:rFonts w:hint="eastAsia" w:ascii="仿宋" w:hAnsi="仿宋" w:cs="仿宋"/>
          <w:color w:val="000000"/>
          <w:szCs w:val="32"/>
          <w:lang w:eastAsia="zh-CN"/>
        </w:rPr>
        <w:t>或三次及以上轻伤事故</w:t>
      </w:r>
      <w:r>
        <w:rPr>
          <w:rFonts w:hint="eastAsia" w:ascii="仿宋" w:hAnsi="仿宋" w:cs="仿宋"/>
          <w:color w:val="000000"/>
          <w:szCs w:val="32"/>
          <w:lang w:val="en-US" w:eastAsia="zh-CN"/>
        </w:rPr>
        <w:t>的场所和部位</w:t>
      </w:r>
      <w:r>
        <w:rPr>
          <w:rFonts w:hint="eastAsia" w:ascii="仿宋" w:hAnsi="仿宋" w:cs="仿宋"/>
          <w:color w:val="000000"/>
          <w:szCs w:val="32"/>
          <w:lang w:eastAsia="zh-CN"/>
        </w:rPr>
        <w:t>，且发生事故的条件依然存在的</w:t>
      </w:r>
      <w:r>
        <w:rPr>
          <w:rFonts w:hint="eastAsia" w:ascii="仿宋" w:hAnsi="仿宋" w:cs="仿宋"/>
          <w:color w:val="000000"/>
          <w:szCs w:val="32"/>
        </w:rPr>
        <w:t>；</w:t>
      </w:r>
    </w:p>
    <w:p w14:paraId="4736A48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仿宋" w:hAnsi="仿宋" w:cs="仿宋"/>
          <w:color w:val="000000"/>
          <w:szCs w:val="32"/>
        </w:rPr>
      </w:pPr>
      <w:r>
        <w:rPr>
          <w:rFonts w:hint="eastAsia" w:ascii="仿宋" w:hAnsi="仿宋" w:cs="仿宋"/>
          <w:color w:val="000000"/>
          <w:szCs w:val="32"/>
          <w:lang w:val="en-US" w:eastAsia="zh-CN"/>
        </w:rPr>
        <w:t>2</w:t>
      </w:r>
      <w:r>
        <w:rPr>
          <w:rFonts w:hint="eastAsia" w:ascii="仿宋" w:hAnsi="仿宋" w:cs="仿宋"/>
          <w:color w:val="000000"/>
          <w:szCs w:val="32"/>
        </w:rPr>
        <w:t>.具有中毒、爆炸等危险的场所，同一作业</w:t>
      </w:r>
      <w:r>
        <w:rPr>
          <w:rFonts w:hint="eastAsia" w:ascii="仿宋" w:hAnsi="仿宋" w:cs="仿宋"/>
          <w:color w:val="000000"/>
          <w:szCs w:val="32"/>
          <w:lang w:eastAsia="zh-CN"/>
        </w:rPr>
        <w:t>区域内现场</w:t>
      </w:r>
      <w:r>
        <w:rPr>
          <w:rFonts w:hint="eastAsia" w:ascii="仿宋" w:hAnsi="仿宋" w:cs="仿宋"/>
          <w:color w:val="000000"/>
          <w:szCs w:val="32"/>
        </w:rPr>
        <w:t>作业人员在</w:t>
      </w:r>
      <w:r>
        <w:rPr>
          <w:rFonts w:hint="eastAsia" w:ascii="仿宋" w:hAnsi="仿宋" w:cs="仿宋"/>
          <w:color w:val="000000"/>
          <w:szCs w:val="32"/>
          <w:lang w:val="en-US" w:eastAsia="zh-CN"/>
        </w:rPr>
        <w:t>10</w:t>
      </w:r>
      <w:r>
        <w:rPr>
          <w:rFonts w:hint="eastAsia" w:ascii="仿宋" w:hAnsi="仿宋" w:cs="仿宋"/>
          <w:color w:val="000000"/>
          <w:szCs w:val="32"/>
        </w:rPr>
        <w:t>人</w:t>
      </w:r>
      <w:r>
        <w:rPr>
          <w:rFonts w:hint="eastAsia" w:ascii="仿宋" w:hAnsi="仿宋" w:cs="仿宋"/>
          <w:color w:val="000000"/>
          <w:szCs w:val="32"/>
          <w:lang w:eastAsia="zh-CN"/>
        </w:rPr>
        <w:t>（</w:t>
      </w:r>
      <w:r>
        <w:rPr>
          <w:rFonts w:hint="eastAsia" w:ascii="仿宋" w:hAnsi="仿宋" w:cs="仿宋"/>
          <w:color w:val="000000"/>
          <w:szCs w:val="32"/>
          <w:lang w:val="en-US" w:eastAsia="zh-CN"/>
        </w:rPr>
        <w:t>含</w:t>
      </w:r>
      <w:r>
        <w:rPr>
          <w:rFonts w:hint="eastAsia" w:ascii="仿宋" w:hAnsi="仿宋" w:cs="仿宋"/>
          <w:color w:val="000000"/>
          <w:szCs w:val="32"/>
          <w:lang w:eastAsia="zh-CN"/>
        </w:rPr>
        <w:t>）</w:t>
      </w:r>
      <w:r>
        <w:rPr>
          <w:rFonts w:hint="eastAsia" w:ascii="仿宋" w:hAnsi="仿宋" w:cs="仿宋"/>
          <w:color w:val="000000"/>
          <w:szCs w:val="32"/>
        </w:rPr>
        <w:t>以上的；</w:t>
      </w:r>
    </w:p>
    <w:p w14:paraId="580CFB9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lang w:val="en-US" w:eastAsia="zh-CN"/>
        </w:rPr>
        <w:t>3</w:t>
      </w:r>
      <w:r>
        <w:rPr>
          <w:rFonts w:hint="eastAsia" w:ascii="仿宋" w:hAnsi="仿宋" w:cs="仿宋"/>
          <w:color w:val="000000"/>
          <w:szCs w:val="32"/>
        </w:rPr>
        <w:t>.</w:t>
      </w:r>
      <w:r>
        <w:rPr>
          <w:rFonts w:hint="eastAsia" w:ascii="仿宋" w:hAnsi="仿宋" w:cs="仿宋"/>
          <w:color w:val="000000"/>
          <w:szCs w:val="32"/>
          <w:lang w:val="en-US" w:eastAsia="zh-CN"/>
        </w:rPr>
        <w:t>构成危险化学品一级、二级重大危险源的场所和设施；</w:t>
      </w:r>
    </w:p>
    <w:p w14:paraId="20A7901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lang w:val="en-US" w:eastAsia="zh-CN"/>
        </w:rPr>
        <w:t>4</w:t>
      </w:r>
      <w:r>
        <w:rPr>
          <w:rFonts w:hint="eastAsia" w:ascii="仿宋" w:hAnsi="仿宋" w:cs="仿宋"/>
          <w:color w:val="000000"/>
          <w:szCs w:val="32"/>
        </w:rPr>
        <w:t>.</w:t>
      </w:r>
      <w:r>
        <w:rPr>
          <w:rFonts w:hint="eastAsia" w:ascii="仿宋" w:hAnsi="仿宋" w:cs="仿宋"/>
          <w:color w:val="000000"/>
          <w:szCs w:val="32"/>
          <w:lang w:eastAsia="zh-CN"/>
        </w:rPr>
        <w:t>单班作业人数达到</w:t>
      </w:r>
      <w:r>
        <w:rPr>
          <w:rFonts w:hint="eastAsia" w:ascii="仿宋" w:hAnsi="仿宋" w:cs="仿宋"/>
          <w:color w:val="000000"/>
          <w:szCs w:val="32"/>
          <w:lang w:val="en-US" w:eastAsia="zh-CN"/>
        </w:rPr>
        <w:t>10人</w:t>
      </w:r>
      <w:r>
        <w:rPr>
          <w:rFonts w:hint="eastAsia" w:ascii="仿宋" w:hAnsi="仿宋" w:cs="仿宋"/>
          <w:color w:val="000000"/>
          <w:szCs w:val="32"/>
          <w:lang w:eastAsia="zh-CN"/>
        </w:rPr>
        <w:t>（</w:t>
      </w:r>
      <w:r>
        <w:rPr>
          <w:rFonts w:hint="eastAsia" w:ascii="仿宋" w:hAnsi="仿宋" w:cs="仿宋"/>
          <w:color w:val="000000"/>
          <w:szCs w:val="32"/>
          <w:lang w:val="en-US" w:eastAsia="zh-CN"/>
        </w:rPr>
        <w:t>含</w:t>
      </w:r>
      <w:r>
        <w:rPr>
          <w:rFonts w:hint="eastAsia" w:ascii="仿宋" w:hAnsi="仿宋" w:cs="仿宋"/>
          <w:color w:val="000000"/>
          <w:szCs w:val="32"/>
          <w:lang w:eastAsia="zh-CN"/>
        </w:rPr>
        <w:t>）</w:t>
      </w:r>
      <w:r>
        <w:rPr>
          <w:rFonts w:hint="eastAsia" w:ascii="仿宋" w:hAnsi="仿宋" w:cs="仿宋"/>
          <w:color w:val="000000"/>
          <w:szCs w:val="32"/>
          <w:lang w:val="en-US" w:eastAsia="zh-CN"/>
        </w:rPr>
        <w:t>以上的粉尘涉爆场所</w:t>
      </w:r>
      <w:r>
        <w:rPr>
          <w:rFonts w:hint="eastAsia" w:ascii="仿宋" w:hAnsi="仿宋" w:cs="仿宋"/>
          <w:color w:val="000000"/>
          <w:szCs w:val="32"/>
        </w:rPr>
        <w:t>。</w:t>
      </w:r>
    </w:p>
    <w:p w14:paraId="2B683B8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楷体" w:hAnsi="楷体" w:eastAsia="楷体" w:cs="楷体"/>
          <w:color w:val="000000"/>
          <w:szCs w:val="32"/>
        </w:rPr>
      </w:pPr>
      <w:r>
        <w:rPr>
          <w:rFonts w:hint="eastAsia" w:ascii="楷体" w:hAnsi="楷体" w:eastAsia="楷体" w:cs="楷体"/>
          <w:color w:val="000000"/>
          <w:szCs w:val="32"/>
        </w:rPr>
        <w:t>（二）有下列情形之一的，应</w:t>
      </w:r>
      <w:r>
        <w:rPr>
          <w:rFonts w:hint="eastAsia" w:ascii="楷体" w:hAnsi="楷体" w:eastAsia="楷体" w:cs="楷体"/>
          <w:color w:val="000000"/>
          <w:szCs w:val="32"/>
          <w:lang w:val="en-US" w:eastAsia="zh-CN"/>
        </w:rPr>
        <w:t>直接判定</w:t>
      </w:r>
      <w:r>
        <w:rPr>
          <w:rFonts w:hint="eastAsia" w:ascii="楷体" w:hAnsi="楷体" w:eastAsia="楷体" w:cs="楷体"/>
          <w:color w:val="000000"/>
          <w:szCs w:val="32"/>
        </w:rPr>
        <w:t>为较大风险</w:t>
      </w:r>
    </w:p>
    <w:p w14:paraId="26C8D7E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lang w:val="en-US" w:eastAsia="zh-CN"/>
        </w:rPr>
        <w:t>1</w:t>
      </w:r>
      <w:r>
        <w:rPr>
          <w:rFonts w:hint="eastAsia" w:ascii="仿宋" w:hAnsi="仿宋" w:cs="仿宋"/>
          <w:color w:val="000000"/>
          <w:szCs w:val="32"/>
        </w:rPr>
        <w:t>.具有中毒、爆炸等危险的场所，同一作业</w:t>
      </w:r>
      <w:r>
        <w:rPr>
          <w:rFonts w:hint="eastAsia" w:ascii="仿宋" w:hAnsi="仿宋" w:cs="仿宋"/>
          <w:color w:val="000000"/>
          <w:szCs w:val="32"/>
          <w:lang w:eastAsia="zh-CN"/>
        </w:rPr>
        <w:t>区域内现场</w:t>
      </w:r>
      <w:r>
        <w:rPr>
          <w:rFonts w:hint="eastAsia" w:ascii="仿宋" w:hAnsi="仿宋" w:cs="仿宋"/>
          <w:color w:val="000000"/>
          <w:szCs w:val="32"/>
        </w:rPr>
        <w:t>作业人员</w:t>
      </w:r>
      <w:r>
        <w:rPr>
          <w:rFonts w:hint="eastAsia" w:ascii="仿宋" w:hAnsi="仿宋" w:cs="仿宋"/>
          <w:color w:val="000000"/>
          <w:szCs w:val="32"/>
          <w:lang w:val="en-US" w:eastAsia="zh-CN"/>
        </w:rPr>
        <w:t>在</w:t>
      </w:r>
      <w:r>
        <w:rPr>
          <w:rFonts w:hint="eastAsia" w:ascii="仿宋" w:hAnsi="仿宋" w:cs="仿宋"/>
          <w:color w:val="000000"/>
          <w:szCs w:val="32"/>
        </w:rPr>
        <w:t>3人</w:t>
      </w:r>
      <w:r>
        <w:rPr>
          <w:rFonts w:hint="eastAsia" w:ascii="仿宋" w:hAnsi="仿宋" w:cs="仿宋"/>
          <w:color w:val="000000"/>
          <w:szCs w:val="32"/>
          <w:lang w:val="en-US" w:eastAsia="zh-CN"/>
        </w:rPr>
        <w:t>（含）</w:t>
      </w:r>
      <w:r>
        <w:rPr>
          <w:rFonts w:hint="eastAsia" w:ascii="仿宋" w:hAnsi="仿宋" w:cs="仿宋"/>
          <w:color w:val="000000"/>
          <w:szCs w:val="32"/>
          <w:lang w:eastAsia="zh-CN"/>
        </w:rPr>
        <w:t>以上</w:t>
      </w:r>
      <w:r>
        <w:rPr>
          <w:rFonts w:hint="eastAsia" w:ascii="仿宋" w:hAnsi="仿宋" w:cs="仿宋"/>
          <w:color w:val="000000"/>
          <w:szCs w:val="32"/>
          <w:lang w:val="en-US" w:eastAsia="zh-CN"/>
        </w:rPr>
        <w:t>10人以下</w:t>
      </w:r>
      <w:r>
        <w:rPr>
          <w:rFonts w:hint="eastAsia" w:ascii="仿宋" w:hAnsi="仿宋" w:cs="仿宋"/>
          <w:color w:val="000000"/>
          <w:szCs w:val="32"/>
        </w:rPr>
        <w:t>的；</w:t>
      </w:r>
    </w:p>
    <w:p w14:paraId="03772DA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lang w:val="en-US" w:eastAsia="zh-CN"/>
        </w:rPr>
        <w:t>2</w:t>
      </w:r>
      <w:r>
        <w:rPr>
          <w:rFonts w:hint="eastAsia" w:ascii="仿宋" w:hAnsi="仿宋" w:cs="仿宋"/>
          <w:color w:val="000000"/>
          <w:szCs w:val="32"/>
        </w:rPr>
        <w:t>.涉及</w:t>
      </w:r>
      <w:r>
        <w:rPr>
          <w:rFonts w:hint="eastAsia" w:ascii="仿宋" w:hAnsi="仿宋" w:cs="仿宋"/>
          <w:color w:val="000000"/>
          <w:szCs w:val="32"/>
          <w:lang w:eastAsia="zh-CN"/>
        </w:rPr>
        <w:t>易燃易爆或中毒窒息风险的有限空间</w:t>
      </w:r>
      <w:r>
        <w:rPr>
          <w:rFonts w:hint="eastAsia" w:ascii="仿宋" w:hAnsi="仿宋" w:cs="仿宋"/>
          <w:color w:val="000000"/>
          <w:szCs w:val="32"/>
        </w:rPr>
        <w:t>；</w:t>
      </w:r>
    </w:p>
    <w:p w14:paraId="2DABEA5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jc w:val="both"/>
        <w:textAlignment w:val="auto"/>
        <w:rPr>
          <w:rFonts w:ascii="楷体" w:hAnsi="楷体" w:eastAsia="楷体" w:cs="楷体"/>
          <w:color w:val="000000"/>
          <w:szCs w:val="32"/>
        </w:rPr>
      </w:pPr>
      <w:r>
        <w:rPr>
          <w:rFonts w:hint="eastAsia" w:ascii="仿宋" w:hAnsi="仿宋" w:cs="仿宋"/>
          <w:color w:val="000000"/>
          <w:szCs w:val="32"/>
          <w:lang w:val="en-US" w:eastAsia="zh-CN"/>
        </w:rPr>
        <w:t>3</w:t>
      </w:r>
      <w:r>
        <w:rPr>
          <w:rFonts w:hint="eastAsia" w:ascii="仿宋" w:hAnsi="仿宋" w:cs="仿宋"/>
          <w:color w:val="000000"/>
          <w:szCs w:val="32"/>
        </w:rPr>
        <w:t>.</w:t>
      </w:r>
      <w:r>
        <w:rPr>
          <w:rFonts w:hint="eastAsia" w:ascii="仿宋" w:hAnsi="仿宋" w:cs="仿宋"/>
          <w:color w:val="000000"/>
          <w:szCs w:val="32"/>
          <w:lang w:eastAsia="zh-CN"/>
        </w:rPr>
        <w:t>单班作业人数达到</w:t>
      </w:r>
      <w:r>
        <w:rPr>
          <w:rFonts w:hint="eastAsia" w:ascii="仿宋" w:hAnsi="仿宋" w:cs="仿宋"/>
          <w:color w:val="000000"/>
          <w:szCs w:val="32"/>
          <w:lang w:val="en-US" w:eastAsia="zh-CN"/>
        </w:rPr>
        <w:t>3人（含）以上10人以下的粉尘涉爆场所</w:t>
      </w:r>
      <w:r>
        <w:rPr>
          <w:rFonts w:hint="eastAsia" w:ascii="仿宋" w:hAnsi="仿宋" w:cs="仿宋"/>
          <w:color w:val="000000"/>
          <w:szCs w:val="32"/>
        </w:rPr>
        <w:t>。</w:t>
      </w:r>
    </w:p>
    <w:p w14:paraId="2A813D0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kern w:val="0"/>
          <w:szCs w:val="32"/>
          <w:lang w:bidi="ar"/>
        </w:rPr>
      </w:pPr>
      <w:r>
        <w:rPr>
          <w:rFonts w:hint="eastAsia" w:ascii="仿宋" w:hAnsi="仿宋" w:cs="仿宋"/>
          <w:color w:val="000000"/>
          <w:kern w:val="0"/>
          <w:szCs w:val="32"/>
          <w:lang w:bidi="ar"/>
        </w:rPr>
        <w:t>企业存在的较大及以上风险，应作为风险管控重点，确保安全设施完善、管控措施落实到位。</w:t>
      </w:r>
    </w:p>
    <w:p w14:paraId="58D6A401">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spacing w:val="6"/>
          <w:szCs w:val="32"/>
        </w:rPr>
      </w:pPr>
      <w:r>
        <w:rPr>
          <w:rFonts w:hint="eastAsia" w:ascii="黑体" w:hAnsi="黑体" w:eastAsia="黑体" w:cs="黑体"/>
          <w:color w:val="000000"/>
          <w:szCs w:val="32"/>
        </w:rPr>
        <w:t>第</w:t>
      </w:r>
      <w:r>
        <w:rPr>
          <w:rFonts w:hint="eastAsia" w:ascii="黑体" w:hAnsi="黑体" w:eastAsia="黑体" w:cs="黑体"/>
          <w:color w:val="000000"/>
          <w:szCs w:val="32"/>
          <w:lang w:val="en-US" w:eastAsia="zh-CN"/>
        </w:rPr>
        <w:t>九</w:t>
      </w:r>
      <w:r>
        <w:rPr>
          <w:rFonts w:hint="eastAsia" w:ascii="黑体" w:hAnsi="黑体" w:eastAsia="黑体" w:cs="黑体"/>
          <w:color w:val="000000"/>
          <w:szCs w:val="32"/>
        </w:rPr>
        <w:t>条</w:t>
      </w:r>
      <w:r>
        <w:rPr>
          <w:rFonts w:hint="eastAsia" w:ascii="黑体" w:hAnsi="黑体" w:eastAsia="黑体" w:cs="黑体"/>
          <w:color w:val="000000"/>
          <w:szCs w:val="32"/>
          <w:lang w:val="en-US" w:eastAsia="zh-CN"/>
        </w:rPr>
        <w:t xml:space="preserve"> </w:t>
      </w:r>
      <w:r>
        <w:rPr>
          <w:rFonts w:hint="eastAsia" w:ascii="仿宋" w:hAnsi="仿宋" w:cs="仿宋"/>
          <w:color w:val="000000"/>
          <w:szCs w:val="32"/>
        </w:rPr>
        <w:t xml:space="preserve"> </w:t>
      </w:r>
      <w:r>
        <w:rPr>
          <w:rFonts w:hint="eastAsia" w:ascii="仿宋" w:hAnsi="仿宋" w:cs="仿宋"/>
          <w:color w:val="000000"/>
          <w:kern w:val="0"/>
          <w:szCs w:val="32"/>
          <w:lang w:bidi="ar"/>
        </w:rPr>
        <w:t>安全风险</w:t>
      </w:r>
      <w:r>
        <w:rPr>
          <w:rFonts w:hint="eastAsia" w:ascii="仿宋" w:hAnsi="仿宋" w:cs="仿宋"/>
          <w:color w:val="000000"/>
          <w:kern w:val="0"/>
          <w:szCs w:val="32"/>
          <w:lang w:eastAsia="zh-CN" w:bidi="ar"/>
        </w:rPr>
        <w:t>分级</w:t>
      </w:r>
      <w:r>
        <w:rPr>
          <w:rFonts w:hint="eastAsia" w:ascii="仿宋" w:hAnsi="仿宋" w:cs="仿宋"/>
          <w:color w:val="000000"/>
          <w:kern w:val="0"/>
          <w:szCs w:val="32"/>
          <w:lang w:bidi="ar"/>
        </w:rPr>
        <w:t>管控责任与措施。</w:t>
      </w:r>
      <w:r>
        <w:rPr>
          <w:rFonts w:hint="eastAsia" w:ascii="仿宋" w:hAnsi="仿宋" w:cs="仿宋"/>
          <w:color w:val="000000"/>
          <w:kern w:val="0"/>
          <w:szCs w:val="32"/>
          <w:lang w:eastAsia="zh-CN" w:bidi="ar"/>
        </w:rPr>
        <w:t>安全风险分级管控应遵循风险等级越高，管控层级越高的原则。企业应</w:t>
      </w:r>
      <w:r>
        <w:rPr>
          <w:rFonts w:hint="eastAsia" w:ascii="仿宋" w:hAnsi="仿宋" w:cs="仿宋"/>
          <w:color w:val="000000"/>
          <w:kern w:val="0"/>
          <w:szCs w:val="32"/>
          <w:lang w:bidi="ar"/>
        </w:rPr>
        <w:t>依据</w:t>
      </w:r>
      <w:r>
        <w:rPr>
          <w:rFonts w:hint="eastAsia" w:ascii="仿宋" w:hAnsi="仿宋" w:cs="仿宋"/>
          <w:color w:val="000000"/>
          <w:kern w:val="0"/>
          <w:szCs w:val="32"/>
          <w:lang w:eastAsia="zh-CN" w:bidi="ar"/>
        </w:rPr>
        <w:t>安全</w:t>
      </w:r>
      <w:r>
        <w:rPr>
          <w:rFonts w:hint="eastAsia" w:ascii="仿宋" w:hAnsi="仿宋" w:cs="仿宋"/>
          <w:color w:val="000000"/>
          <w:kern w:val="0"/>
          <w:szCs w:val="32"/>
          <w:lang w:bidi="ar"/>
        </w:rPr>
        <w:t>风险等级，划分</w:t>
      </w:r>
      <w:r>
        <w:rPr>
          <w:rFonts w:hint="eastAsia" w:ascii="仿宋" w:hAnsi="仿宋" w:cs="仿宋"/>
          <w:color w:val="000000"/>
          <w:kern w:val="0"/>
          <w:szCs w:val="32"/>
          <w:lang w:eastAsia="zh-CN" w:bidi="ar"/>
        </w:rPr>
        <w:t>不同层级的</w:t>
      </w:r>
      <w:r>
        <w:rPr>
          <w:rFonts w:hint="eastAsia" w:ascii="仿宋" w:hAnsi="仿宋" w:cs="仿宋"/>
          <w:color w:val="000000"/>
          <w:kern w:val="0"/>
          <w:szCs w:val="32"/>
          <w:lang w:bidi="ar"/>
        </w:rPr>
        <w:t>安全风险管控责任</w:t>
      </w:r>
      <w:r>
        <w:rPr>
          <w:rFonts w:hint="eastAsia" w:ascii="仿宋" w:hAnsi="仿宋" w:cs="仿宋"/>
          <w:color w:val="000000"/>
          <w:kern w:val="0"/>
          <w:szCs w:val="32"/>
          <w:lang w:eastAsia="zh-CN" w:bidi="ar"/>
        </w:rPr>
        <w:t>，编制</w:t>
      </w:r>
      <w:r>
        <w:rPr>
          <w:rFonts w:hint="eastAsia" w:ascii="仿宋" w:hAnsi="仿宋" w:cs="仿宋"/>
          <w:color w:val="000000"/>
          <w:szCs w:val="32"/>
        </w:rPr>
        <w:t>安全风险</w:t>
      </w:r>
      <w:r>
        <w:rPr>
          <w:rFonts w:hint="eastAsia" w:ascii="仿宋" w:hAnsi="仿宋" w:cs="仿宋"/>
          <w:color w:val="000000"/>
          <w:szCs w:val="32"/>
          <w:lang w:eastAsia="zh-CN"/>
        </w:rPr>
        <w:t>管控</w:t>
      </w:r>
      <w:r>
        <w:rPr>
          <w:rFonts w:hint="eastAsia" w:ascii="仿宋" w:hAnsi="仿宋" w:cs="仿宋"/>
          <w:color w:val="000000"/>
          <w:szCs w:val="32"/>
        </w:rPr>
        <w:t>责任</w:t>
      </w:r>
      <w:r>
        <w:rPr>
          <w:rFonts w:hint="eastAsia" w:ascii="仿宋" w:hAnsi="仿宋" w:cs="仿宋"/>
          <w:color w:val="000000"/>
          <w:szCs w:val="32"/>
          <w:lang w:val="en-US" w:eastAsia="zh-CN"/>
        </w:rPr>
        <w:t>及措施</w:t>
      </w:r>
      <w:r>
        <w:rPr>
          <w:rFonts w:hint="eastAsia" w:ascii="仿宋" w:hAnsi="仿宋" w:cs="仿宋"/>
          <w:color w:val="000000"/>
          <w:szCs w:val="32"/>
        </w:rPr>
        <w:t>清单</w:t>
      </w:r>
      <w:r>
        <w:rPr>
          <w:rFonts w:hint="eastAsia" w:ascii="仿宋" w:hAnsi="仿宋" w:cs="仿宋"/>
          <w:color w:val="auto"/>
          <w:szCs w:val="32"/>
          <w:lang w:eastAsia="zh-CN"/>
        </w:rPr>
        <w:t>（见附表），</w:t>
      </w:r>
      <w:r>
        <w:rPr>
          <w:rFonts w:hint="eastAsia" w:ascii="仿宋" w:hAnsi="仿宋" w:cs="仿宋"/>
          <w:color w:val="auto"/>
          <w:spacing w:val="6"/>
          <w:kern w:val="0"/>
          <w:szCs w:val="32"/>
          <w:lang w:bidi="ar"/>
        </w:rPr>
        <w:t>上一级负责管控的</w:t>
      </w:r>
      <w:r>
        <w:rPr>
          <w:rFonts w:hint="eastAsia" w:ascii="仿宋" w:hAnsi="仿宋" w:cs="仿宋"/>
          <w:color w:val="000000"/>
          <w:spacing w:val="6"/>
          <w:kern w:val="0"/>
          <w:szCs w:val="32"/>
          <w:lang w:bidi="ar"/>
        </w:rPr>
        <w:t>风险，下一级应同时负责管控，并逐级落实</w:t>
      </w:r>
      <w:r>
        <w:rPr>
          <w:rFonts w:hint="eastAsia" w:ascii="仿宋" w:hAnsi="仿宋" w:cs="仿宋"/>
          <w:color w:val="000000"/>
          <w:spacing w:val="6"/>
          <w:szCs w:val="32"/>
          <w:lang w:eastAsia="zh-CN"/>
        </w:rPr>
        <w:t>管控</w:t>
      </w:r>
      <w:r>
        <w:rPr>
          <w:rFonts w:hint="eastAsia" w:ascii="仿宋" w:hAnsi="仿宋" w:cs="仿宋"/>
          <w:color w:val="000000"/>
          <w:spacing w:val="6"/>
          <w:szCs w:val="32"/>
          <w:lang w:val="en-US" w:eastAsia="zh-CN"/>
        </w:rPr>
        <w:t>责任</w:t>
      </w:r>
      <w:r>
        <w:rPr>
          <w:rFonts w:hint="eastAsia" w:ascii="仿宋" w:hAnsi="仿宋" w:cs="仿宋"/>
          <w:color w:val="000000"/>
          <w:spacing w:val="6"/>
          <w:szCs w:val="32"/>
        </w:rPr>
        <w:t>。</w:t>
      </w:r>
    </w:p>
    <w:p w14:paraId="333A90DF">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仿宋" w:hAnsi="仿宋" w:cs="仿宋"/>
          <w:color w:val="000000"/>
          <w:szCs w:val="32"/>
        </w:rPr>
        <w:t>安全风险管控措施主要按以下情形考虑与制定：</w:t>
      </w:r>
    </w:p>
    <w:p w14:paraId="0AF76BAF">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b w:val="0"/>
          <w:bCs w:val="0"/>
          <w:color w:val="000000"/>
          <w:kern w:val="0"/>
          <w:szCs w:val="32"/>
          <w:lang w:bidi="ar"/>
        </w:rPr>
        <w:t>1.工程技术。</w:t>
      </w:r>
      <w:r>
        <w:rPr>
          <w:rFonts w:hint="eastAsia" w:ascii="仿宋" w:hAnsi="仿宋" w:cs="仿宋"/>
          <w:color w:val="000000"/>
          <w:kern w:val="0"/>
          <w:szCs w:val="32"/>
          <w:lang w:bidi="ar"/>
        </w:rPr>
        <w:t>如检测报警、联锁、安全阀、限位、通风、隔离、光电、超（低）压保护、机械防护装置、防护栏等工程设施。工程技术措施优先并尽可能采取定量技术措施。</w:t>
      </w:r>
    </w:p>
    <w:p w14:paraId="00B68208">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b w:val="0"/>
          <w:bCs w:val="0"/>
          <w:color w:val="000000"/>
          <w:kern w:val="0"/>
          <w:szCs w:val="32"/>
          <w:lang w:bidi="ar"/>
        </w:rPr>
        <w:t>2.安全管理。</w:t>
      </w:r>
      <w:r>
        <w:rPr>
          <w:rFonts w:hint="eastAsia" w:ascii="仿宋" w:hAnsi="仿宋" w:cs="仿宋"/>
          <w:color w:val="000000"/>
          <w:kern w:val="0"/>
          <w:szCs w:val="32"/>
          <w:lang w:bidi="ar"/>
        </w:rPr>
        <w:t>如实施定期的安全设备检查、检测、检验；制定安全管理制度、安全操作规程、安全管理规范；设置安全警示标志；严格执行危险作业票证审批、资格审核、现场管理、作业报告等。</w:t>
      </w:r>
    </w:p>
    <w:p w14:paraId="7E2D5DAB">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b w:val="0"/>
          <w:bCs w:val="0"/>
          <w:color w:val="000000"/>
          <w:kern w:val="0"/>
          <w:szCs w:val="32"/>
          <w:lang w:bidi="ar"/>
        </w:rPr>
        <w:t>3.教育培训。</w:t>
      </w:r>
      <w:r>
        <w:rPr>
          <w:rFonts w:hint="eastAsia" w:ascii="仿宋" w:hAnsi="仿宋" w:cs="仿宋"/>
          <w:color w:val="000000"/>
          <w:kern w:val="0"/>
          <w:szCs w:val="32"/>
          <w:lang w:bidi="ar"/>
        </w:rPr>
        <w:t>针对新入职、转岗调岗、危险作业、应急、新技术、新工艺、</w:t>
      </w:r>
      <w:r>
        <w:rPr>
          <w:rFonts w:hint="eastAsia" w:ascii="仿宋" w:hAnsi="仿宋" w:cs="仿宋"/>
          <w:color w:val="000000"/>
          <w:kern w:val="0"/>
          <w:szCs w:val="32"/>
          <w:lang w:eastAsia="zh-CN" w:bidi="ar"/>
        </w:rPr>
        <w:t>新材料、</w:t>
      </w:r>
      <w:r>
        <w:rPr>
          <w:rFonts w:hint="eastAsia" w:ascii="仿宋" w:hAnsi="仿宋" w:cs="仿宋"/>
          <w:color w:val="000000"/>
          <w:kern w:val="0"/>
          <w:szCs w:val="32"/>
          <w:lang w:bidi="ar"/>
        </w:rPr>
        <w:t>新设备及专项等方面的安全意识、安全知识、防范技能、救援逃生的教育培训。</w:t>
      </w:r>
    </w:p>
    <w:p w14:paraId="64E16690">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b w:val="0"/>
          <w:bCs w:val="0"/>
          <w:color w:val="000000"/>
          <w:kern w:val="0"/>
          <w:szCs w:val="32"/>
          <w:lang w:bidi="ar"/>
        </w:rPr>
        <w:t>4.个体防护。</w:t>
      </w:r>
      <w:r>
        <w:rPr>
          <w:rFonts w:hint="eastAsia" w:ascii="仿宋" w:hAnsi="仿宋" w:cs="仿宋"/>
          <w:color w:val="000000"/>
          <w:kern w:val="0"/>
          <w:szCs w:val="32"/>
          <w:lang w:bidi="ar"/>
        </w:rPr>
        <w:t>如提供防护服、</w:t>
      </w:r>
      <w:r>
        <w:rPr>
          <w:rFonts w:hint="eastAsia" w:ascii="仿宋" w:hAnsi="仿宋" w:cs="仿宋"/>
          <w:color w:val="000000"/>
          <w:kern w:val="0"/>
          <w:szCs w:val="32"/>
          <w:lang w:eastAsia="zh-CN" w:bidi="ar"/>
        </w:rPr>
        <w:t>安全帽、</w:t>
      </w:r>
      <w:r>
        <w:rPr>
          <w:rFonts w:hint="eastAsia" w:ascii="仿宋" w:hAnsi="仿宋" w:cs="仿宋"/>
          <w:color w:val="000000"/>
          <w:kern w:val="0"/>
          <w:szCs w:val="32"/>
          <w:lang w:bidi="ar"/>
        </w:rPr>
        <w:t>安全鞋、防护眼镜、听力保护装备、手套、安全带、安全绳等个体防护用品。</w:t>
      </w:r>
    </w:p>
    <w:p w14:paraId="65D32469">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楷体" w:hAnsi="楷体" w:eastAsia="楷体" w:cs="楷体"/>
          <w:b w:val="0"/>
          <w:bCs w:val="0"/>
          <w:color w:val="000000"/>
          <w:kern w:val="0"/>
          <w:szCs w:val="32"/>
          <w:lang w:bidi="ar"/>
        </w:rPr>
        <w:t>5.应急处置。</w:t>
      </w:r>
      <w:r>
        <w:rPr>
          <w:rFonts w:hint="eastAsia" w:ascii="仿宋" w:hAnsi="仿宋" w:cs="仿宋"/>
          <w:color w:val="000000"/>
          <w:kern w:val="0"/>
          <w:szCs w:val="32"/>
          <w:lang w:bidi="ar"/>
        </w:rPr>
        <w:t>如针对紧急情况及突发事故进行的报警、</w:t>
      </w:r>
      <w:r>
        <w:rPr>
          <w:rFonts w:hint="eastAsia" w:ascii="仿宋" w:hAnsi="仿宋" w:cs="仿宋"/>
          <w:color w:val="000000"/>
          <w:szCs w:val="32"/>
        </w:rPr>
        <w:t>防护、逃生、疏散、灭火急救、人员搜救等应急处置措施。</w:t>
      </w:r>
    </w:p>
    <w:p w14:paraId="78D41504">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黑体" w:hAnsi="黑体" w:eastAsia="黑体" w:cs="黑体"/>
          <w:bCs/>
          <w:color w:val="000000"/>
          <w:kern w:val="0"/>
          <w:szCs w:val="32"/>
          <w:lang w:bidi="ar"/>
        </w:rPr>
        <w:t>第</w:t>
      </w:r>
      <w:r>
        <w:rPr>
          <w:rFonts w:hint="eastAsia" w:ascii="黑体" w:hAnsi="黑体" w:eastAsia="黑体" w:cs="黑体"/>
          <w:bCs/>
          <w:color w:val="000000"/>
          <w:kern w:val="0"/>
          <w:szCs w:val="32"/>
          <w:lang w:val="en-US" w:eastAsia="zh-CN" w:bidi="ar"/>
        </w:rPr>
        <w:t>十</w:t>
      </w:r>
      <w:r>
        <w:rPr>
          <w:rFonts w:hint="eastAsia" w:ascii="黑体" w:hAnsi="黑体" w:eastAsia="黑体" w:cs="黑体"/>
          <w:bCs/>
          <w:color w:val="000000"/>
          <w:kern w:val="0"/>
          <w:szCs w:val="32"/>
          <w:lang w:bidi="ar"/>
        </w:rPr>
        <w:t>条</w:t>
      </w:r>
      <w:r>
        <w:rPr>
          <w:rFonts w:hint="eastAsia" w:ascii="仿宋" w:hAnsi="仿宋" w:cs="仿宋"/>
          <w:color w:val="000000"/>
          <w:szCs w:val="32"/>
        </w:rPr>
        <w:t xml:space="preserve"> </w:t>
      </w:r>
      <w:r>
        <w:rPr>
          <w:rFonts w:hint="eastAsia" w:ascii="仿宋" w:hAnsi="仿宋" w:cs="仿宋"/>
          <w:color w:val="000000"/>
          <w:szCs w:val="32"/>
          <w:lang w:val="en-US" w:eastAsia="zh-CN"/>
        </w:rPr>
        <w:t xml:space="preserve"> </w:t>
      </w:r>
      <w:r>
        <w:rPr>
          <w:rFonts w:hint="eastAsia" w:ascii="仿宋" w:hAnsi="仿宋" w:cs="仿宋"/>
          <w:color w:val="000000"/>
          <w:szCs w:val="32"/>
        </w:rPr>
        <w:t>安全风险图。</w:t>
      </w:r>
      <w:r>
        <w:rPr>
          <w:rFonts w:hint="eastAsia" w:ascii="仿宋" w:hAnsi="仿宋" w:cs="仿宋"/>
          <w:color w:val="000000"/>
          <w:szCs w:val="32"/>
          <w:lang w:eastAsia="zh-CN"/>
        </w:rPr>
        <w:t>企业应</w:t>
      </w:r>
      <w:r>
        <w:rPr>
          <w:rFonts w:hint="eastAsia" w:ascii="仿宋" w:hAnsi="仿宋" w:cs="仿宋"/>
          <w:color w:val="000000"/>
          <w:szCs w:val="32"/>
        </w:rPr>
        <w:t>根据风险</w:t>
      </w:r>
      <w:r>
        <w:rPr>
          <w:rFonts w:hint="eastAsia" w:ascii="仿宋" w:hAnsi="仿宋" w:cs="仿宋"/>
          <w:color w:val="000000"/>
          <w:szCs w:val="32"/>
          <w:lang w:eastAsia="zh-CN"/>
        </w:rPr>
        <w:t>等级</w:t>
      </w:r>
      <w:r>
        <w:rPr>
          <w:rFonts w:hint="eastAsia" w:ascii="仿宋" w:hAnsi="仿宋" w:cs="仿宋"/>
          <w:color w:val="000000"/>
          <w:szCs w:val="32"/>
        </w:rPr>
        <w:t>绘制</w:t>
      </w:r>
      <w:r>
        <w:rPr>
          <w:rFonts w:hint="eastAsia" w:ascii="仿宋" w:hAnsi="仿宋" w:cs="仿宋"/>
          <w:color w:val="000000"/>
          <w:szCs w:val="32"/>
          <w:lang w:eastAsia="zh-CN"/>
        </w:rPr>
        <w:t>红、橙、黄、蓝</w:t>
      </w:r>
      <w:r>
        <w:rPr>
          <w:rFonts w:hint="eastAsia" w:ascii="仿宋" w:hAnsi="仿宋" w:cs="仿宋"/>
          <w:color w:val="000000"/>
          <w:szCs w:val="32"/>
          <w:lang w:val="en-US" w:eastAsia="zh-CN"/>
        </w:rPr>
        <w:t>风险分布</w:t>
      </w:r>
      <w:r>
        <w:rPr>
          <w:rFonts w:hint="eastAsia" w:ascii="仿宋" w:hAnsi="仿宋" w:cs="仿宋"/>
          <w:color w:val="000000"/>
          <w:szCs w:val="32"/>
        </w:rPr>
        <w:t>四色图，绘制完成后应在公共区域以公告栏形式进行公示。</w:t>
      </w:r>
    </w:p>
    <w:p w14:paraId="09267814">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一</w:t>
      </w:r>
      <w:r>
        <w:rPr>
          <w:rFonts w:hint="eastAsia" w:ascii="黑体" w:hAnsi="黑体" w:eastAsia="黑体" w:cs="黑体"/>
          <w:bCs/>
          <w:color w:val="000000"/>
          <w:kern w:val="0"/>
          <w:szCs w:val="32"/>
          <w:lang w:bidi="ar"/>
        </w:rPr>
        <w:t>条</w:t>
      </w:r>
      <w:r>
        <w:rPr>
          <w:rFonts w:hint="eastAsia" w:ascii="仿宋" w:hAnsi="仿宋" w:cs="仿宋"/>
          <w:color w:val="000000"/>
          <w:szCs w:val="32"/>
        </w:rPr>
        <w:t xml:space="preserve"> </w:t>
      </w:r>
      <w:r>
        <w:rPr>
          <w:rFonts w:hint="eastAsia" w:ascii="仿宋" w:hAnsi="仿宋" w:cs="仿宋"/>
          <w:color w:val="000000"/>
          <w:szCs w:val="32"/>
          <w:lang w:val="en-US" w:eastAsia="zh-CN"/>
        </w:rPr>
        <w:t xml:space="preserve"> </w:t>
      </w:r>
      <w:r>
        <w:rPr>
          <w:rFonts w:hint="eastAsia" w:ascii="仿宋" w:hAnsi="仿宋" w:cs="仿宋"/>
          <w:color w:val="000000"/>
          <w:szCs w:val="32"/>
        </w:rPr>
        <w:t>风险告知。企业应在</w:t>
      </w:r>
      <w:r>
        <w:rPr>
          <w:rFonts w:hint="eastAsia" w:ascii="仿宋" w:hAnsi="仿宋" w:cs="仿宋"/>
          <w:color w:val="000000"/>
          <w:szCs w:val="32"/>
          <w:lang w:eastAsia="zh-CN"/>
        </w:rPr>
        <w:t>安全</w:t>
      </w:r>
      <w:r>
        <w:rPr>
          <w:rFonts w:hint="eastAsia" w:ascii="仿宋" w:hAnsi="仿宋" w:cs="仿宋"/>
          <w:color w:val="000000"/>
          <w:szCs w:val="32"/>
        </w:rPr>
        <w:t>风险</w:t>
      </w:r>
      <w:r>
        <w:rPr>
          <w:rFonts w:hint="eastAsia" w:ascii="仿宋" w:hAnsi="仿宋" w:cs="仿宋"/>
          <w:color w:val="000000"/>
          <w:szCs w:val="32"/>
          <w:lang w:eastAsia="zh-CN"/>
        </w:rPr>
        <w:t>等级</w:t>
      </w:r>
      <w:r>
        <w:rPr>
          <w:rFonts w:hint="eastAsia" w:ascii="仿宋" w:hAnsi="仿宋" w:cs="仿宋"/>
          <w:color w:val="000000"/>
          <w:szCs w:val="32"/>
        </w:rPr>
        <w:t>为较大及以上</w:t>
      </w:r>
      <w:r>
        <w:rPr>
          <w:rFonts w:hint="eastAsia" w:ascii="仿宋" w:hAnsi="仿宋" w:cs="仿宋"/>
          <w:color w:val="000000"/>
          <w:szCs w:val="32"/>
          <w:lang w:eastAsia="zh-CN"/>
        </w:rPr>
        <w:t>场所（部位）的</w:t>
      </w:r>
      <w:r>
        <w:rPr>
          <w:rFonts w:hint="eastAsia" w:ascii="仿宋" w:hAnsi="仿宋" w:cs="仿宋"/>
          <w:color w:val="000000"/>
          <w:szCs w:val="32"/>
        </w:rPr>
        <w:t>醒目位置制作安装风险公告栏或岗位安全风险告知卡，标明</w:t>
      </w:r>
      <w:r>
        <w:rPr>
          <w:rFonts w:hint="eastAsia" w:ascii="仿宋" w:hAnsi="仿宋" w:cs="仿宋"/>
          <w:color w:val="000000"/>
          <w:szCs w:val="32"/>
          <w:lang w:eastAsia="zh-CN"/>
        </w:rPr>
        <w:t>场所（部位）</w:t>
      </w:r>
      <w:r>
        <w:rPr>
          <w:rFonts w:hint="eastAsia" w:ascii="仿宋" w:hAnsi="仿宋" w:cs="仿宋"/>
          <w:color w:val="000000"/>
          <w:szCs w:val="32"/>
        </w:rPr>
        <w:t>及设备设施或作业活动名称、</w:t>
      </w:r>
      <w:r>
        <w:rPr>
          <w:rFonts w:hint="eastAsia" w:ascii="仿宋" w:hAnsi="仿宋" w:cs="仿宋"/>
          <w:color w:val="000000"/>
          <w:szCs w:val="32"/>
          <w:lang w:eastAsia="zh-CN"/>
        </w:rPr>
        <w:t>安全</w:t>
      </w:r>
      <w:r>
        <w:rPr>
          <w:rFonts w:hint="eastAsia" w:ascii="仿宋" w:hAnsi="仿宋" w:cs="仿宋"/>
          <w:color w:val="000000"/>
          <w:szCs w:val="32"/>
        </w:rPr>
        <w:t>风险等级、易发事故类型、管控责任单位、</w:t>
      </w:r>
      <w:r>
        <w:rPr>
          <w:rFonts w:hint="eastAsia" w:ascii="仿宋" w:hAnsi="仿宋" w:cs="仿宋"/>
          <w:color w:val="000000"/>
          <w:szCs w:val="32"/>
          <w:lang w:eastAsia="zh-CN"/>
        </w:rPr>
        <w:t>管控</w:t>
      </w:r>
      <w:r>
        <w:rPr>
          <w:rFonts w:hint="eastAsia" w:ascii="仿宋" w:hAnsi="仿宋" w:cs="仿宋"/>
          <w:color w:val="000000"/>
          <w:szCs w:val="32"/>
        </w:rPr>
        <w:t>责任人</w:t>
      </w:r>
      <w:r>
        <w:rPr>
          <w:rFonts w:hint="eastAsia" w:ascii="仿宋" w:hAnsi="仿宋" w:cs="仿宋"/>
          <w:color w:val="000000"/>
          <w:szCs w:val="32"/>
          <w:lang w:eastAsia="zh-CN"/>
        </w:rPr>
        <w:t>及</w:t>
      </w:r>
      <w:r>
        <w:rPr>
          <w:rFonts w:hint="eastAsia" w:ascii="仿宋" w:hAnsi="仿宋" w:cs="仿宋"/>
          <w:color w:val="000000"/>
          <w:szCs w:val="32"/>
        </w:rPr>
        <w:t>联系方式、现场</w:t>
      </w:r>
      <w:r>
        <w:rPr>
          <w:rFonts w:hint="eastAsia" w:ascii="仿宋" w:hAnsi="仿宋" w:cs="仿宋"/>
          <w:color w:val="000000"/>
          <w:szCs w:val="32"/>
          <w:lang w:eastAsia="zh-CN"/>
        </w:rPr>
        <w:t>管控</w:t>
      </w:r>
      <w:r>
        <w:rPr>
          <w:rFonts w:hint="eastAsia" w:ascii="仿宋" w:hAnsi="仿宋" w:cs="仿宋"/>
          <w:color w:val="000000"/>
          <w:szCs w:val="32"/>
        </w:rPr>
        <w:t>措施</w:t>
      </w:r>
      <w:r>
        <w:rPr>
          <w:rFonts w:hint="eastAsia" w:ascii="仿宋" w:hAnsi="仿宋" w:cs="仿宋"/>
          <w:color w:val="000000"/>
          <w:szCs w:val="32"/>
          <w:lang w:eastAsia="zh-CN"/>
        </w:rPr>
        <w:t>及</w:t>
      </w:r>
      <w:r>
        <w:rPr>
          <w:rFonts w:hint="eastAsia" w:ascii="仿宋" w:hAnsi="仿宋" w:cs="仿宋"/>
          <w:color w:val="000000"/>
          <w:szCs w:val="32"/>
        </w:rPr>
        <w:t>应急措施、警示标识等内容。</w:t>
      </w:r>
    </w:p>
    <w:p w14:paraId="55AAB993">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二</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cs="仿宋"/>
          <w:b/>
          <w:color w:val="000000"/>
          <w:kern w:val="0"/>
          <w:szCs w:val="32"/>
          <w:lang w:bidi="ar"/>
        </w:rPr>
        <w:t xml:space="preserve"> </w:t>
      </w:r>
      <w:r>
        <w:rPr>
          <w:rFonts w:hint="eastAsia" w:ascii="仿宋" w:hAnsi="仿宋" w:cs="仿宋"/>
          <w:color w:val="000000"/>
          <w:szCs w:val="32"/>
        </w:rPr>
        <w:t>隐患排查治理</w:t>
      </w:r>
      <w:r>
        <w:rPr>
          <w:rFonts w:hint="eastAsia" w:ascii="仿宋" w:hAnsi="仿宋" w:cs="仿宋"/>
          <w:color w:val="000000"/>
          <w:szCs w:val="32"/>
          <w:lang w:eastAsia="zh-CN"/>
        </w:rPr>
        <w:t>。</w:t>
      </w:r>
      <w:r>
        <w:rPr>
          <w:rFonts w:hint="eastAsia" w:ascii="仿宋" w:hAnsi="仿宋" w:cs="仿宋"/>
          <w:color w:val="000000"/>
          <w:szCs w:val="32"/>
          <w:lang w:val="en-US" w:eastAsia="zh-CN"/>
        </w:rPr>
        <w:t>企业应定期组织开展隐患排查，排查范围包括：</w:t>
      </w:r>
      <w:r>
        <w:rPr>
          <w:rFonts w:hint="eastAsia" w:ascii="仿宋" w:hAnsi="仿宋" w:cs="仿宋"/>
          <w:color w:val="000000"/>
          <w:szCs w:val="32"/>
        </w:rPr>
        <w:t>与本企业生产经营相关的场所、人员、设备设施</w:t>
      </w:r>
      <w:r>
        <w:rPr>
          <w:rFonts w:hint="eastAsia" w:ascii="仿宋" w:hAnsi="仿宋" w:cs="仿宋"/>
          <w:color w:val="000000"/>
          <w:szCs w:val="32"/>
          <w:lang w:eastAsia="zh-CN"/>
        </w:rPr>
        <w:t>、</w:t>
      </w:r>
      <w:r>
        <w:rPr>
          <w:rFonts w:hint="eastAsia" w:ascii="仿宋" w:hAnsi="仿宋" w:cs="仿宋"/>
          <w:color w:val="000000"/>
          <w:szCs w:val="32"/>
          <w:lang w:val="en-US" w:eastAsia="zh-CN"/>
        </w:rPr>
        <w:t>作业</w:t>
      </w:r>
      <w:r>
        <w:rPr>
          <w:rFonts w:hint="eastAsia" w:ascii="仿宋" w:hAnsi="仿宋" w:cs="仿宋"/>
          <w:color w:val="000000"/>
          <w:szCs w:val="32"/>
        </w:rPr>
        <w:t>活动</w:t>
      </w:r>
      <w:r>
        <w:rPr>
          <w:rFonts w:hint="eastAsia" w:ascii="仿宋" w:hAnsi="仿宋" w:cs="仿宋"/>
          <w:color w:val="000000"/>
          <w:szCs w:val="32"/>
          <w:lang w:eastAsia="zh-CN"/>
        </w:rPr>
        <w:t>以及</w:t>
      </w:r>
      <w:r>
        <w:rPr>
          <w:rFonts w:hint="eastAsia" w:ascii="仿宋" w:hAnsi="仿宋" w:cs="仿宋"/>
          <w:color w:val="000000"/>
          <w:szCs w:val="32"/>
        </w:rPr>
        <w:t>承包商</w:t>
      </w:r>
      <w:r>
        <w:rPr>
          <w:rFonts w:hint="eastAsia" w:ascii="仿宋" w:hAnsi="仿宋" w:cs="仿宋"/>
          <w:color w:val="000000"/>
          <w:szCs w:val="32"/>
          <w:lang w:eastAsia="zh-CN"/>
        </w:rPr>
        <w:t>、</w:t>
      </w:r>
      <w:r>
        <w:rPr>
          <w:rFonts w:hint="eastAsia" w:ascii="仿宋" w:hAnsi="仿宋" w:cs="仿宋"/>
          <w:color w:val="000000"/>
          <w:szCs w:val="32"/>
        </w:rPr>
        <w:t>供应商等相关方</w:t>
      </w:r>
      <w:r>
        <w:rPr>
          <w:rFonts w:hint="eastAsia" w:ascii="仿宋" w:hAnsi="仿宋" w:cs="仿宋"/>
          <w:color w:val="000000"/>
          <w:szCs w:val="32"/>
          <w:lang w:val="en-US" w:eastAsia="zh-CN"/>
        </w:rPr>
        <w:t>。</w:t>
      </w:r>
      <w:r>
        <w:rPr>
          <w:rFonts w:hint="eastAsia" w:ascii="仿宋" w:hAnsi="仿宋" w:cs="仿宋"/>
          <w:color w:val="000000"/>
          <w:kern w:val="0"/>
          <w:szCs w:val="32"/>
          <w:lang w:bidi="ar"/>
        </w:rPr>
        <w:t>排查出的隐患</w:t>
      </w:r>
      <w:r>
        <w:rPr>
          <w:rFonts w:hint="eastAsia" w:ascii="仿宋" w:hAnsi="仿宋" w:cs="仿宋"/>
          <w:color w:val="000000"/>
          <w:kern w:val="0"/>
          <w:szCs w:val="32"/>
          <w:lang w:val="en-US" w:eastAsia="zh-CN" w:bidi="ar"/>
        </w:rPr>
        <w:t>应</w:t>
      </w:r>
      <w:r>
        <w:rPr>
          <w:rFonts w:hint="eastAsia" w:ascii="仿宋" w:hAnsi="仿宋" w:cs="仿宋"/>
          <w:color w:val="000000"/>
          <w:kern w:val="0"/>
          <w:szCs w:val="32"/>
          <w:lang w:eastAsia="zh-CN" w:bidi="ar"/>
        </w:rPr>
        <w:t>立即或限期</w:t>
      </w:r>
      <w:r>
        <w:rPr>
          <w:rFonts w:hint="eastAsia" w:ascii="仿宋" w:hAnsi="仿宋" w:cs="仿宋"/>
          <w:color w:val="000000"/>
          <w:kern w:val="0"/>
          <w:szCs w:val="32"/>
          <w:lang w:bidi="ar"/>
        </w:rPr>
        <w:t>组织整改。</w:t>
      </w:r>
    </w:p>
    <w:p w14:paraId="050FACBC">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szCs w:val="32"/>
        </w:rPr>
      </w:pPr>
      <w:r>
        <w:rPr>
          <w:rFonts w:hint="eastAsia" w:ascii="仿宋" w:hAnsi="仿宋" w:cs="仿宋"/>
          <w:color w:val="000000"/>
          <w:kern w:val="0"/>
          <w:szCs w:val="32"/>
          <w:lang w:eastAsia="zh-CN" w:bidi="ar"/>
        </w:rPr>
        <w:t>对重大事故隐患，企业应按照《陕西省生产经营单位重大事故隐患动态清零承诺暂行办法》规定，对重大事故隐患整改时限、责任、措施、效果、监督等做出公开承诺。</w:t>
      </w:r>
    </w:p>
    <w:p w14:paraId="73BB659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黑体" w:hAnsi="黑体" w:eastAsia="黑体" w:cs="黑体"/>
          <w:bCs/>
          <w:color w:val="000000"/>
          <w:kern w:val="0"/>
          <w:szCs w:val="32"/>
          <w:lang w:eastAsia="zh-CN"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三</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黑体" w:hAnsi="黑体" w:eastAsia="黑体" w:cs="黑体"/>
          <w:bCs/>
          <w:color w:val="000000"/>
          <w:kern w:val="0"/>
          <w:szCs w:val="32"/>
          <w:lang w:bidi="ar"/>
        </w:rPr>
        <w:t xml:space="preserve"> </w:t>
      </w:r>
      <w:r>
        <w:rPr>
          <w:rFonts w:hint="eastAsia" w:ascii="仿宋" w:hAnsi="仿宋" w:cs="仿宋"/>
          <w:color w:val="000000"/>
          <w:szCs w:val="32"/>
        </w:rPr>
        <w:t>隐患</w:t>
      </w:r>
      <w:r>
        <w:rPr>
          <w:rFonts w:hint="eastAsia" w:ascii="仿宋" w:hAnsi="仿宋" w:cs="仿宋"/>
          <w:color w:val="000000"/>
          <w:kern w:val="0"/>
          <w:szCs w:val="32"/>
          <w:lang w:bidi="ar"/>
        </w:rPr>
        <w:t>闭环管理</w:t>
      </w:r>
      <w:r>
        <w:rPr>
          <w:rFonts w:hint="eastAsia" w:ascii="仿宋" w:hAnsi="仿宋" w:cs="仿宋"/>
          <w:color w:val="000000"/>
          <w:kern w:val="0"/>
          <w:szCs w:val="32"/>
          <w:lang w:eastAsia="zh-CN" w:bidi="ar"/>
        </w:rPr>
        <w:t>。企业完成隐患治理工作后</w:t>
      </w:r>
      <w:r>
        <w:rPr>
          <w:rFonts w:hint="eastAsia" w:ascii="仿宋" w:hAnsi="仿宋" w:cs="仿宋"/>
          <w:color w:val="000000"/>
          <w:kern w:val="0"/>
          <w:szCs w:val="32"/>
          <w:highlight w:val="none"/>
          <w:lang w:eastAsia="zh-CN" w:bidi="ar"/>
        </w:rPr>
        <w:t>应</w:t>
      </w:r>
      <w:r>
        <w:rPr>
          <w:rFonts w:hint="eastAsia" w:ascii="仿宋" w:hAnsi="仿宋" w:cs="仿宋"/>
          <w:color w:val="000000"/>
          <w:kern w:val="0"/>
          <w:szCs w:val="32"/>
          <w:lang w:eastAsia="zh-CN" w:bidi="ar"/>
        </w:rPr>
        <w:t>对治理情况进行确认。重大事故隐患治理完成后</w:t>
      </w:r>
      <w:r>
        <w:rPr>
          <w:rFonts w:hint="eastAsia" w:ascii="仿宋" w:hAnsi="仿宋" w:cs="仿宋"/>
          <w:color w:val="000000"/>
          <w:kern w:val="0"/>
          <w:szCs w:val="32"/>
          <w:lang w:val="en-US" w:eastAsia="zh-CN" w:bidi="ar"/>
        </w:rPr>
        <w:t>应</w:t>
      </w:r>
      <w:r>
        <w:rPr>
          <w:rFonts w:hint="eastAsia" w:ascii="仿宋" w:hAnsi="仿宋" w:cs="仿宋"/>
          <w:color w:val="000000"/>
          <w:kern w:val="0"/>
          <w:szCs w:val="32"/>
          <w:lang w:eastAsia="zh-CN" w:bidi="ar"/>
        </w:rPr>
        <w:t>组织验收。企业</w:t>
      </w:r>
      <w:r>
        <w:rPr>
          <w:rFonts w:hint="eastAsia" w:ascii="仿宋" w:hAnsi="仿宋" w:cs="仿宋"/>
          <w:color w:val="000000"/>
          <w:kern w:val="0"/>
          <w:szCs w:val="32"/>
          <w:lang w:val="en-US" w:eastAsia="zh-CN" w:bidi="ar"/>
        </w:rPr>
        <w:t>要</w:t>
      </w:r>
      <w:r>
        <w:rPr>
          <w:rFonts w:hint="eastAsia" w:ascii="仿宋" w:hAnsi="仿宋" w:cs="仿宋"/>
          <w:color w:val="000000"/>
          <w:kern w:val="0"/>
          <w:szCs w:val="32"/>
          <w:lang w:eastAsia="zh-CN" w:bidi="ar"/>
        </w:rPr>
        <w:t>建立事故隐患排查治理台账，按规定做好统计分析。</w:t>
      </w:r>
    </w:p>
    <w:p w14:paraId="489AF0B5">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四</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eastAsia="仿宋" w:cs="仿宋"/>
          <w:bCs/>
          <w:color w:val="000000"/>
          <w:kern w:val="0"/>
          <w:szCs w:val="32"/>
          <w:lang w:bidi="ar"/>
        </w:rPr>
        <w:t>企业应结合实际情况，每3年</w:t>
      </w:r>
      <w:r>
        <w:rPr>
          <w:rFonts w:hint="eastAsia" w:ascii="仿宋" w:hAnsi="仿宋" w:eastAsia="仿宋" w:cs="仿宋"/>
          <w:bCs/>
          <w:color w:val="000000"/>
          <w:kern w:val="0"/>
          <w:szCs w:val="32"/>
          <w:lang w:eastAsia="zh-CN" w:bidi="ar"/>
        </w:rPr>
        <w:t>至少</w:t>
      </w:r>
      <w:r>
        <w:rPr>
          <w:rFonts w:hint="eastAsia" w:ascii="仿宋" w:hAnsi="仿宋" w:eastAsia="仿宋" w:cs="仿宋"/>
          <w:bCs/>
          <w:color w:val="000000"/>
          <w:kern w:val="0"/>
          <w:szCs w:val="32"/>
          <w:lang w:bidi="ar"/>
        </w:rPr>
        <w:t>进行1次全面的危险源辨识和</w:t>
      </w:r>
      <w:r>
        <w:rPr>
          <w:rFonts w:hint="eastAsia" w:ascii="仿宋" w:hAnsi="仿宋" w:cs="仿宋"/>
          <w:bCs/>
          <w:color w:val="000000"/>
          <w:kern w:val="0"/>
          <w:szCs w:val="32"/>
          <w:lang w:eastAsia="zh-CN" w:bidi="ar"/>
        </w:rPr>
        <w:t>安全</w:t>
      </w:r>
      <w:r>
        <w:rPr>
          <w:rFonts w:hint="eastAsia" w:ascii="仿宋" w:hAnsi="仿宋" w:eastAsia="仿宋" w:cs="仿宋"/>
          <w:bCs/>
          <w:color w:val="000000"/>
          <w:kern w:val="0"/>
          <w:szCs w:val="32"/>
          <w:lang w:bidi="ar"/>
        </w:rPr>
        <w:t>风险</w:t>
      </w:r>
      <w:r>
        <w:rPr>
          <w:rFonts w:hint="eastAsia" w:ascii="仿宋" w:hAnsi="仿宋" w:cs="仿宋"/>
          <w:bCs/>
          <w:color w:val="000000"/>
          <w:kern w:val="0"/>
          <w:szCs w:val="32"/>
          <w:lang w:eastAsia="zh-CN" w:bidi="ar"/>
        </w:rPr>
        <w:t>等级</w:t>
      </w:r>
      <w:r>
        <w:rPr>
          <w:rFonts w:hint="eastAsia" w:ascii="仿宋" w:hAnsi="仿宋" w:eastAsia="仿宋" w:cs="仿宋"/>
          <w:bCs/>
          <w:color w:val="000000"/>
          <w:kern w:val="0"/>
          <w:szCs w:val="32"/>
          <w:lang w:bidi="ar"/>
        </w:rPr>
        <w:t>评估工作。</w:t>
      </w:r>
    </w:p>
    <w:p w14:paraId="35252119">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Cs/>
          <w:color w:val="000000"/>
          <w:kern w:val="0"/>
          <w:szCs w:val="32"/>
          <w:lang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五</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eastAsia="仿宋" w:cs="仿宋"/>
          <w:bCs/>
          <w:color w:val="000000"/>
          <w:kern w:val="0"/>
          <w:szCs w:val="32"/>
          <w:lang w:bidi="ar"/>
        </w:rPr>
        <w:t>企业双重预防机制运行过程中，出现以下情况时应重新开展风险</w:t>
      </w:r>
      <w:r>
        <w:rPr>
          <w:rFonts w:hint="eastAsia" w:ascii="仿宋" w:hAnsi="仿宋" w:cs="仿宋"/>
          <w:bCs/>
          <w:color w:val="000000"/>
          <w:kern w:val="0"/>
          <w:szCs w:val="32"/>
          <w:lang w:eastAsia="zh-CN" w:bidi="ar"/>
        </w:rPr>
        <w:t>等级</w:t>
      </w:r>
      <w:r>
        <w:rPr>
          <w:rFonts w:hint="eastAsia" w:ascii="仿宋" w:hAnsi="仿宋" w:eastAsia="仿宋" w:cs="仿宋"/>
          <w:bCs/>
          <w:color w:val="000000"/>
          <w:kern w:val="0"/>
          <w:szCs w:val="32"/>
          <w:lang w:bidi="ar"/>
        </w:rPr>
        <w:t>评估</w:t>
      </w:r>
      <w:r>
        <w:rPr>
          <w:rFonts w:hint="eastAsia" w:ascii="仿宋" w:hAnsi="仿宋" w:cs="仿宋"/>
          <w:bCs/>
          <w:color w:val="000000"/>
          <w:kern w:val="0"/>
          <w:szCs w:val="32"/>
          <w:lang w:eastAsia="zh-CN" w:bidi="ar"/>
        </w:rPr>
        <w:t>：</w:t>
      </w:r>
    </w:p>
    <w:p w14:paraId="1425A6C5">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eastAsia="zh-CN" w:bidi="ar"/>
        </w:rPr>
      </w:pPr>
      <w:r>
        <w:rPr>
          <w:rFonts w:hint="eastAsia" w:ascii="仿宋" w:hAnsi="仿宋" w:eastAsia="仿宋" w:cs="仿宋"/>
          <w:bCs/>
          <w:color w:val="000000"/>
          <w:kern w:val="0"/>
          <w:szCs w:val="32"/>
          <w:lang w:val="en-US" w:eastAsia="zh-CN" w:bidi="ar"/>
        </w:rPr>
        <w:t>1.安全生产法律、</w:t>
      </w:r>
      <w:r>
        <w:rPr>
          <w:rFonts w:hint="eastAsia" w:ascii="仿宋" w:hAnsi="仿宋" w:eastAsia="仿宋" w:cs="仿宋"/>
          <w:bCs/>
          <w:color w:val="000000"/>
          <w:kern w:val="0"/>
          <w:szCs w:val="32"/>
          <w:lang w:bidi="ar"/>
        </w:rPr>
        <w:t>法规、标准等</w:t>
      </w:r>
      <w:r>
        <w:rPr>
          <w:rFonts w:hint="eastAsia" w:ascii="仿宋" w:hAnsi="仿宋" w:eastAsia="仿宋" w:cs="仿宋"/>
          <w:bCs/>
          <w:color w:val="000000"/>
          <w:kern w:val="0"/>
          <w:szCs w:val="32"/>
          <w:lang w:eastAsia="zh-CN" w:bidi="ar"/>
        </w:rPr>
        <w:t>发生变化；</w:t>
      </w:r>
    </w:p>
    <w:p w14:paraId="3705BF00">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bidi="ar"/>
        </w:rPr>
      </w:pPr>
      <w:r>
        <w:rPr>
          <w:rFonts w:hint="eastAsia" w:ascii="仿宋" w:hAnsi="仿宋" w:eastAsia="仿宋" w:cs="仿宋"/>
          <w:bCs/>
          <w:color w:val="000000"/>
          <w:kern w:val="0"/>
          <w:szCs w:val="32"/>
          <w:lang w:val="en-US" w:eastAsia="zh-CN" w:bidi="ar"/>
        </w:rPr>
        <w:t>2.</w:t>
      </w:r>
      <w:r>
        <w:rPr>
          <w:rFonts w:hint="eastAsia" w:ascii="仿宋" w:hAnsi="仿宋" w:eastAsia="仿宋" w:cs="仿宋"/>
          <w:bCs/>
          <w:color w:val="000000"/>
          <w:kern w:val="0"/>
          <w:szCs w:val="32"/>
          <w:lang w:bidi="ar"/>
        </w:rPr>
        <w:t>企业生产工艺流程和关键设备设施发生变更</w:t>
      </w:r>
      <w:r>
        <w:rPr>
          <w:rFonts w:hint="eastAsia" w:ascii="仿宋" w:hAnsi="仿宋" w:eastAsia="仿宋" w:cs="仿宋"/>
          <w:bCs/>
          <w:color w:val="000000"/>
          <w:kern w:val="0"/>
          <w:szCs w:val="32"/>
          <w:lang w:eastAsia="zh-CN" w:bidi="ar"/>
        </w:rPr>
        <w:t>；</w:t>
      </w:r>
    </w:p>
    <w:p w14:paraId="0292A123">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bidi="ar"/>
        </w:rPr>
      </w:pPr>
      <w:r>
        <w:rPr>
          <w:rFonts w:hint="eastAsia" w:ascii="仿宋" w:hAnsi="仿宋" w:eastAsia="仿宋" w:cs="仿宋"/>
          <w:bCs/>
          <w:color w:val="000000"/>
          <w:kern w:val="0"/>
          <w:szCs w:val="32"/>
          <w:lang w:val="en-US" w:eastAsia="zh-CN" w:bidi="ar"/>
        </w:rPr>
        <w:t>3.</w:t>
      </w:r>
      <w:r>
        <w:rPr>
          <w:rFonts w:hint="eastAsia" w:ascii="仿宋" w:hAnsi="仿宋" w:eastAsia="仿宋" w:cs="仿宋"/>
          <w:bCs/>
          <w:color w:val="000000"/>
          <w:kern w:val="0"/>
          <w:szCs w:val="32"/>
          <w:lang w:bidi="ar"/>
        </w:rPr>
        <w:t>企业组织机构发生重大调整</w:t>
      </w:r>
      <w:r>
        <w:rPr>
          <w:rFonts w:hint="eastAsia" w:ascii="仿宋" w:hAnsi="仿宋" w:eastAsia="仿宋" w:cs="仿宋"/>
          <w:bCs/>
          <w:color w:val="000000"/>
          <w:kern w:val="0"/>
          <w:szCs w:val="32"/>
          <w:lang w:eastAsia="zh-CN" w:bidi="ar"/>
        </w:rPr>
        <w:t>；</w:t>
      </w:r>
    </w:p>
    <w:p w14:paraId="50B10274">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Cs/>
          <w:color w:val="000000"/>
          <w:kern w:val="0"/>
          <w:szCs w:val="32"/>
          <w:lang w:bidi="ar"/>
        </w:rPr>
      </w:pPr>
      <w:r>
        <w:rPr>
          <w:rFonts w:hint="eastAsia" w:ascii="仿宋" w:hAnsi="仿宋" w:eastAsia="仿宋" w:cs="仿宋"/>
          <w:bCs/>
          <w:color w:val="000000"/>
          <w:kern w:val="0"/>
          <w:szCs w:val="32"/>
          <w:lang w:val="en-US" w:eastAsia="zh-CN" w:bidi="ar"/>
        </w:rPr>
        <w:t>4.发生重伤及以上</w:t>
      </w:r>
      <w:r>
        <w:rPr>
          <w:rFonts w:hint="eastAsia" w:ascii="仿宋" w:hAnsi="仿宋" w:eastAsia="仿宋" w:cs="仿宋"/>
          <w:bCs/>
          <w:color w:val="000000"/>
          <w:kern w:val="0"/>
          <w:szCs w:val="32"/>
          <w:lang w:bidi="ar"/>
        </w:rPr>
        <w:t>事故</w:t>
      </w:r>
      <w:r>
        <w:rPr>
          <w:rFonts w:hint="eastAsia" w:ascii="仿宋" w:hAnsi="仿宋" w:eastAsia="仿宋" w:cs="仿宋"/>
          <w:bCs/>
          <w:color w:val="000000"/>
          <w:kern w:val="0"/>
          <w:szCs w:val="32"/>
          <w:lang w:eastAsia="zh-CN" w:bidi="ar"/>
        </w:rPr>
        <w:t>。</w:t>
      </w:r>
    </w:p>
    <w:p w14:paraId="17234D57">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六</w:t>
      </w:r>
      <w:r>
        <w:rPr>
          <w:rFonts w:hint="eastAsia" w:ascii="黑体" w:hAnsi="黑体" w:eastAsia="黑体" w:cs="黑体"/>
          <w:bCs/>
          <w:color w:val="000000"/>
          <w:kern w:val="0"/>
          <w:szCs w:val="32"/>
          <w:lang w:bidi="ar"/>
        </w:rPr>
        <w:t>条</w:t>
      </w:r>
      <w:r>
        <w:rPr>
          <w:rFonts w:hint="eastAsia" w:ascii="仿宋_GB2312" w:hAnsi="仿宋_GB2312" w:eastAsia="仿宋_GB2312" w:cs="仿宋_GB2312"/>
          <w:bCs/>
          <w:color w:val="000000"/>
          <w:kern w:val="0"/>
          <w:szCs w:val="32"/>
          <w:lang w:val="en-US" w:eastAsia="zh-CN" w:bidi="ar"/>
        </w:rPr>
        <w:t xml:space="preserve">  </w:t>
      </w:r>
      <w:r>
        <w:rPr>
          <w:rFonts w:hint="eastAsia" w:ascii="仿宋" w:hAnsi="仿宋" w:eastAsia="仿宋" w:cs="仿宋"/>
          <w:bCs/>
          <w:color w:val="000000"/>
          <w:kern w:val="0"/>
          <w:szCs w:val="32"/>
          <w:lang w:bidi="ar"/>
        </w:rPr>
        <w:t>企业应</w:t>
      </w:r>
      <w:r>
        <w:rPr>
          <w:rFonts w:hint="eastAsia" w:ascii="仿宋" w:hAnsi="仿宋" w:eastAsia="仿宋" w:cs="仿宋"/>
          <w:bCs/>
          <w:color w:val="000000"/>
          <w:kern w:val="0"/>
          <w:szCs w:val="32"/>
          <w:lang w:eastAsia="zh-CN" w:bidi="ar"/>
        </w:rPr>
        <w:t>针对风险变化</w:t>
      </w:r>
      <w:r>
        <w:rPr>
          <w:rFonts w:hint="eastAsia" w:ascii="仿宋" w:hAnsi="仿宋" w:eastAsia="仿宋" w:cs="仿宋"/>
          <w:bCs/>
          <w:color w:val="000000"/>
          <w:kern w:val="0"/>
          <w:szCs w:val="32"/>
          <w:lang w:bidi="ar"/>
        </w:rPr>
        <w:t>及时更新风险信息与风险管控措施，编制、更新</w:t>
      </w:r>
      <w:r>
        <w:rPr>
          <w:rFonts w:hint="eastAsia" w:ascii="仿宋" w:hAnsi="仿宋" w:eastAsia="仿宋" w:cs="仿宋"/>
          <w:bCs/>
          <w:color w:val="000000"/>
          <w:kern w:val="0"/>
          <w:szCs w:val="32"/>
          <w:lang w:val="en-US" w:eastAsia="zh-CN" w:bidi="ar"/>
        </w:rPr>
        <w:t>安全</w:t>
      </w:r>
      <w:r>
        <w:rPr>
          <w:rFonts w:hint="eastAsia" w:ascii="仿宋" w:hAnsi="仿宋" w:eastAsia="仿宋" w:cs="仿宋"/>
          <w:bCs/>
          <w:color w:val="000000"/>
          <w:kern w:val="0"/>
          <w:szCs w:val="32"/>
          <w:lang w:bidi="ar"/>
        </w:rPr>
        <w:t>风险管控责任</w:t>
      </w:r>
      <w:r>
        <w:rPr>
          <w:rFonts w:hint="eastAsia" w:ascii="仿宋" w:hAnsi="仿宋" w:eastAsia="仿宋" w:cs="仿宋"/>
          <w:bCs/>
          <w:color w:val="000000"/>
          <w:kern w:val="0"/>
          <w:szCs w:val="32"/>
          <w:lang w:val="en-US" w:eastAsia="zh-CN" w:bidi="ar"/>
        </w:rPr>
        <w:t>及</w:t>
      </w:r>
      <w:r>
        <w:rPr>
          <w:rFonts w:hint="eastAsia" w:ascii="仿宋" w:hAnsi="仿宋" w:eastAsia="仿宋" w:cs="仿宋"/>
          <w:bCs/>
          <w:color w:val="000000"/>
          <w:kern w:val="0"/>
          <w:szCs w:val="32"/>
          <w:lang w:bidi="ar"/>
        </w:rPr>
        <w:t>措施清单。</w:t>
      </w:r>
    </w:p>
    <w:p w14:paraId="4F95C571">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kern w:val="0"/>
          <w:szCs w:val="32"/>
          <w:lang w:bidi="ar"/>
        </w:rPr>
      </w:pPr>
      <w:r>
        <w:rPr>
          <w:rFonts w:hint="eastAsia" w:ascii="黑体" w:hAnsi="黑体" w:eastAsia="黑体" w:cs="黑体"/>
          <w:bCs/>
          <w:color w:val="000000"/>
          <w:kern w:val="0"/>
          <w:szCs w:val="32"/>
          <w:lang w:bidi="ar"/>
        </w:rPr>
        <w:t>第</w:t>
      </w:r>
      <w:r>
        <w:rPr>
          <w:rFonts w:hint="eastAsia" w:ascii="黑体" w:hAnsi="黑体" w:eastAsia="黑体" w:cs="黑体"/>
          <w:bCs/>
          <w:color w:val="000000"/>
          <w:kern w:val="0"/>
          <w:szCs w:val="32"/>
          <w:lang w:val="en-US" w:eastAsia="zh-CN" w:bidi="ar"/>
        </w:rPr>
        <w:t>十七</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cs="仿宋"/>
          <w:color w:val="000000"/>
          <w:kern w:val="0"/>
          <w:szCs w:val="32"/>
          <w:lang w:bidi="ar"/>
        </w:rPr>
        <w:t>企业应完整保存体现风险分级管控和隐患排查治理过程的记录资料，并分类建档管理。</w:t>
      </w:r>
    </w:p>
    <w:p w14:paraId="63365DA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宋体"/>
          <w:color w:val="000000"/>
          <w:kern w:val="0"/>
          <w:szCs w:val="32"/>
        </w:rPr>
      </w:pPr>
      <w:r>
        <w:rPr>
          <w:rFonts w:hint="eastAsia" w:ascii="仿宋" w:hAnsi="仿宋" w:cs="宋体"/>
          <w:color w:val="000000"/>
          <w:kern w:val="0"/>
          <w:szCs w:val="32"/>
        </w:rPr>
        <w:t>附</w:t>
      </w:r>
      <w:r>
        <w:rPr>
          <w:rFonts w:hint="eastAsia" w:ascii="仿宋" w:hAnsi="仿宋" w:cs="宋体"/>
          <w:color w:val="000000"/>
          <w:kern w:val="0"/>
          <w:szCs w:val="32"/>
          <w:lang w:eastAsia="zh-CN"/>
        </w:rPr>
        <w:t>表</w:t>
      </w:r>
      <w:r>
        <w:rPr>
          <w:rFonts w:hint="eastAsia" w:ascii="仿宋" w:hAnsi="仿宋" w:cs="宋体"/>
          <w:color w:val="000000"/>
          <w:kern w:val="0"/>
          <w:szCs w:val="32"/>
        </w:rPr>
        <w:t>：安全风险管控责任</w:t>
      </w:r>
      <w:r>
        <w:rPr>
          <w:rFonts w:hint="eastAsia" w:ascii="仿宋" w:hAnsi="仿宋" w:cs="宋体"/>
          <w:color w:val="000000"/>
          <w:kern w:val="0"/>
          <w:szCs w:val="32"/>
          <w:lang w:val="en-US" w:eastAsia="zh-CN"/>
        </w:rPr>
        <w:t>及</w:t>
      </w:r>
      <w:r>
        <w:rPr>
          <w:rFonts w:hint="eastAsia" w:ascii="仿宋" w:hAnsi="仿宋" w:cs="宋体"/>
          <w:color w:val="000000"/>
          <w:kern w:val="0"/>
          <w:szCs w:val="32"/>
        </w:rPr>
        <w:t>措施清单</w:t>
      </w:r>
    </w:p>
    <w:p w14:paraId="723486D4">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30D11EF4">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267B33EB">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471264CF">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4DB7CF42">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40A9CE5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31895BD2">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6C37EE89">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1BC460E6">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687E7598">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3AC68807">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58DE8CE7">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57C4E4DC">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1EAB95E4">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64CE2C05">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2A47990A">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5FB15AF0">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61D5E7CD">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7F231C7F">
      <w:pPr>
        <w:pStyle w:val="2"/>
        <w:rPr>
          <w:rFonts w:hint="eastAsia"/>
          <w:lang w:eastAsia="zh-CN"/>
        </w:rPr>
      </w:pPr>
    </w:p>
    <w:p w14:paraId="0C14B831">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513A8FED">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附表</w:t>
      </w:r>
    </w:p>
    <w:p w14:paraId="4A9AC948">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color w:val="000000"/>
          <w:sz w:val="44"/>
          <w:szCs w:val="44"/>
        </w:rPr>
      </w:pPr>
    </w:p>
    <w:p w14:paraId="591ED321">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安全风险管控</w:t>
      </w:r>
      <w:r>
        <w:rPr>
          <w:rFonts w:hint="eastAsia" w:ascii="方正小标宋简体" w:hAnsi="方正小标宋简体" w:eastAsia="方正小标宋简体" w:cs="方正小标宋简体"/>
          <w:color w:val="000000"/>
          <w:sz w:val="44"/>
          <w:szCs w:val="44"/>
          <w:lang w:eastAsia="zh-CN"/>
        </w:rPr>
        <w:t>责任及</w:t>
      </w:r>
      <w:r>
        <w:rPr>
          <w:rFonts w:hint="eastAsia" w:ascii="方正小标宋简体" w:hAnsi="方正小标宋简体" w:eastAsia="方正小标宋简体" w:cs="方正小标宋简体"/>
          <w:color w:val="000000"/>
          <w:sz w:val="44"/>
          <w:szCs w:val="44"/>
        </w:rPr>
        <w:t>措施清单</w:t>
      </w:r>
    </w:p>
    <w:p w14:paraId="4DB2EE24">
      <w:pPr>
        <w:pStyle w:val="3"/>
        <w:rPr>
          <w:rFonts w:hint="eastAsia" w:ascii="方正小标宋简体" w:hAnsi="方正小标宋简体" w:eastAsia="方正小标宋简体" w:cs="方正小标宋简体"/>
          <w:color w:val="000000"/>
          <w:sz w:val="44"/>
          <w:szCs w:val="44"/>
        </w:rPr>
      </w:pPr>
    </w:p>
    <w:tbl>
      <w:tblPr>
        <w:tblStyle w:val="7"/>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840"/>
        <w:gridCol w:w="557"/>
        <w:gridCol w:w="538"/>
        <w:gridCol w:w="555"/>
        <w:gridCol w:w="690"/>
        <w:gridCol w:w="750"/>
        <w:gridCol w:w="705"/>
        <w:gridCol w:w="825"/>
        <w:gridCol w:w="885"/>
        <w:gridCol w:w="728"/>
        <w:gridCol w:w="692"/>
        <w:gridCol w:w="551"/>
      </w:tblGrid>
      <w:tr w14:paraId="02C04C26">
        <w:trPr>
          <w:trHeight w:val="610" w:hRule="atLeast"/>
          <w:jc w:val="center"/>
        </w:trPr>
        <w:tc>
          <w:tcPr>
            <w:tcW w:w="593" w:type="dxa"/>
            <w:vMerge w:val="restart"/>
            <w:noWrap w:val="0"/>
            <w:vAlign w:val="center"/>
          </w:tcPr>
          <w:p w14:paraId="136564C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p w14:paraId="03F126C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序号</w:t>
            </w:r>
          </w:p>
        </w:tc>
        <w:tc>
          <w:tcPr>
            <w:tcW w:w="840" w:type="dxa"/>
            <w:vMerge w:val="restart"/>
            <w:noWrap w:val="0"/>
            <w:vAlign w:val="center"/>
          </w:tcPr>
          <w:p w14:paraId="0F70256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作业活动/设备设施</w:t>
            </w:r>
          </w:p>
        </w:tc>
        <w:tc>
          <w:tcPr>
            <w:tcW w:w="557" w:type="dxa"/>
            <w:vMerge w:val="restart"/>
            <w:noWrap w:val="0"/>
            <w:vAlign w:val="center"/>
          </w:tcPr>
          <w:p w14:paraId="79C86C3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危害因素</w:t>
            </w:r>
          </w:p>
        </w:tc>
        <w:tc>
          <w:tcPr>
            <w:tcW w:w="538" w:type="dxa"/>
            <w:vMerge w:val="restart"/>
            <w:noWrap w:val="0"/>
            <w:vAlign w:val="center"/>
          </w:tcPr>
          <w:p w14:paraId="1B1FA6A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事故类型</w:t>
            </w:r>
          </w:p>
        </w:tc>
        <w:tc>
          <w:tcPr>
            <w:tcW w:w="555" w:type="dxa"/>
            <w:vMerge w:val="restart"/>
            <w:noWrap w:val="0"/>
            <w:vAlign w:val="center"/>
          </w:tcPr>
          <w:p w14:paraId="6BE803B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风险级别</w:t>
            </w:r>
          </w:p>
        </w:tc>
        <w:tc>
          <w:tcPr>
            <w:tcW w:w="3855" w:type="dxa"/>
            <w:gridSpan w:val="5"/>
            <w:noWrap w:val="0"/>
            <w:vAlign w:val="center"/>
          </w:tcPr>
          <w:p w14:paraId="3E5DAD9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管控措施</w:t>
            </w:r>
          </w:p>
        </w:tc>
        <w:tc>
          <w:tcPr>
            <w:tcW w:w="728" w:type="dxa"/>
            <w:vMerge w:val="restart"/>
            <w:noWrap w:val="0"/>
            <w:vAlign w:val="center"/>
          </w:tcPr>
          <w:p w14:paraId="0E0F8BD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管控</w:t>
            </w:r>
          </w:p>
          <w:p w14:paraId="3A8408D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层级</w:t>
            </w:r>
          </w:p>
        </w:tc>
        <w:tc>
          <w:tcPr>
            <w:tcW w:w="692" w:type="dxa"/>
            <w:vMerge w:val="restart"/>
            <w:noWrap w:val="0"/>
            <w:vAlign w:val="center"/>
          </w:tcPr>
          <w:p w14:paraId="6EAE56E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责任人</w:t>
            </w:r>
          </w:p>
        </w:tc>
        <w:tc>
          <w:tcPr>
            <w:tcW w:w="551" w:type="dxa"/>
            <w:vMerge w:val="restart"/>
            <w:noWrap w:val="0"/>
            <w:vAlign w:val="center"/>
          </w:tcPr>
          <w:p w14:paraId="01B4252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备注</w:t>
            </w:r>
          </w:p>
        </w:tc>
      </w:tr>
      <w:tr w14:paraId="55E324D9">
        <w:trPr>
          <w:trHeight w:val="1188" w:hRule="atLeast"/>
          <w:jc w:val="center"/>
        </w:trPr>
        <w:tc>
          <w:tcPr>
            <w:tcW w:w="593" w:type="dxa"/>
            <w:vMerge w:val="continue"/>
            <w:noWrap w:val="0"/>
            <w:vAlign w:val="center"/>
          </w:tcPr>
          <w:p w14:paraId="79EE424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840" w:type="dxa"/>
            <w:vMerge w:val="continue"/>
            <w:noWrap w:val="0"/>
            <w:vAlign w:val="center"/>
          </w:tcPr>
          <w:p w14:paraId="0121BAB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57" w:type="dxa"/>
            <w:vMerge w:val="continue"/>
            <w:noWrap w:val="0"/>
            <w:vAlign w:val="center"/>
          </w:tcPr>
          <w:p w14:paraId="5AF2F68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38" w:type="dxa"/>
            <w:vMerge w:val="continue"/>
            <w:noWrap w:val="0"/>
            <w:vAlign w:val="center"/>
          </w:tcPr>
          <w:p w14:paraId="3DEB8A4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55" w:type="dxa"/>
            <w:vMerge w:val="continue"/>
            <w:noWrap w:val="0"/>
            <w:vAlign w:val="center"/>
          </w:tcPr>
          <w:p w14:paraId="1C61CED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690" w:type="dxa"/>
            <w:noWrap w:val="0"/>
            <w:vAlign w:val="center"/>
          </w:tcPr>
          <w:p w14:paraId="0229B69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工程技术</w:t>
            </w:r>
          </w:p>
        </w:tc>
        <w:tc>
          <w:tcPr>
            <w:tcW w:w="750" w:type="dxa"/>
            <w:noWrap w:val="0"/>
            <w:vAlign w:val="center"/>
          </w:tcPr>
          <w:p w14:paraId="0956AA0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安全管理</w:t>
            </w:r>
          </w:p>
        </w:tc>
        <w:tc>
          <w:tcPr>
            <w:tcW w:w="705" w:type="dxa"/>
            <w:noWrap w:val="0"/>
            <w:vAlign w:val="center"/>
          </w:tcPr>
          <w:p w14:paraId="4B2D990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培训教育</w:t>
            </w:r>
          </w:p>
        </w:tc>
        <w:tc>
          <w:tcPr>
            <w:tcW w:w="825" w:type="dxa"/>
            <w:noWrap w:val="0"/>
            <w:vAlign w:val="center"/>
          </w:tcPr>
          <w:p w14:paraId="51F404F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个体防护</w:t>
            </w:r>
          </w:p>
        </w:tc>
        <w:tc>
          <w:tcPr>
            <w:tcW w:w="885" w:type="dxa"/>
            <w:noWrap w:val="0"/>
            <w:vAlign w:val="center"/>
          </w:tcPr>
          <w:p w14:paraId="79C11CB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应急处置</w:t>
            </w:r>
          </w:p>
        </w:tc>
        <w:tc>
          <w:tcPr>
            <w:tcW w:w="728" w:type="dxa"/>
            <w:vMerge w:val="continue"/>
            <w:noWrap w:val="0"/>
            <w:vAlign w:val="center"/>
          </w:tcPr>
          <w:p w14:paraId="224F780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692" w:type="dxa"/>
            <w:vMerge w:val="continue"/>
            <w:noWrap w:val="0"/>
            <w:vAlign w:val="center"/>
          </w:tcPr>
          <w:p w14:paraId="0FCC8A7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51" w:type="dxa"/>
            <w:vMerge w:val="continue"/>
            <w:noWrap w:val="0"/>
            <w:vAlign w:val="center"/>
          </w:tcPr>
          <w:p w14:paraId="7571822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r>
      <w:tr w14:paraId="17683F8D">
        <w:trPr>
          <w:trHeight w:val="1205" w:hRule="atLeast"/>
          <w:jc w:val="center"/>
        </w:trPr>
        <w:tc>
          <w:tcPr>
            <w:tcW w:w="593" w:type="dxa"/>
            <w:noWrap w:val="0"/>
            <w:vAlign w:val="center"/>
          </w:tcPr>
          <w:p w14:paraId="294F57E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840" w:type="dxa"/>
            <w:noWrap w:val="0"/>
            <w:vAlign w:val="center"/>
          </w:tcPr>
          <w:p w14:paraId="4CD9F28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7" w:type="dxa"/>
            <w:noWrap w:val="0"/>
            <w:vAlign w:val="center"/>
          </w:tcPr>
          <w:p w14:paraId="0F58242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38" w:type="dxa"/>
            <w:noWrap w:val="0"/>
            <w:vAlign w:val="center"/>
          </w:tcPr>
          <w:p w14:paraId="2AFE006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5" w:type="dxa"/>
            <w:noWrap w:val="0"/>
            <w:vAlign w:val="center"/>
          </w:tcPr>
          <w:p w14:paraId="3167061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690" w:type="dxa"/>
            <w:noWrap w:val="0"/>
            <w:vAlign w:val="center"/>
          </w:tcPr>
          <w:p w14:paraId="6863486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50" w:type="dxa"/>
            <w:noWrap w:val="0"/>
            <w:vAlign w:val="center"/>
          </w:tcPr>
          <w:p w14:paraId="74274AF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05" w:type="dxa"/>
            <w:noWrap w:val="0"/>
            <w:vAlign w:val="center"/>
          </w:tcPr>
          <w:p w14:paraId="740EB28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5" w:type="dxa"/>
            <w:noWrap w:val="0"/>
            <w:vAlign w:val="center"/>
          </w:tcPr>
          <w:p w14:paraId="4A1F5DD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85" w:type="dxa"/>
            <w:noWrap w:val="0"/>
            <w:vAlign w:val="center"/>
          </w:tcPr>
          <w:p w14:paraId="7FF21F3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28" w:type="dxa"/>
            <w:noWrap w:val="0"/>
            <w:vAlign w:val="center"/>
          </w:tcPr>
          <w:p w14:paraId="748860B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692" w:type="dxa"/>
            <w:noWrap w:val="0"/>
            <w:vAlign w:val="center"/>
          </w:tcPr>
          <w:p w14:paraId="3B36F90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551" w:type="dxa"/>
            <w:noWrap w:val="0"/>
            <w:vAlign w:val="center"/>
          </w:tcPr>
          <w:p w14:paraId="22C63F3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r>
      <w:tr w14:paraId="4EAF9CCB">
        <w:trPr>
          <w:trHeight w:val="1020" w:hRule="atLeast"/>
          <w:jc w:val="center"/>
        </w:trPr>
        <w:tc>
          <w:tcPr>
            <w:tcW w:w="593" w:type="dxa"/>
            <w:noWrap w:val="0"/>
            <w:vAlign w:val="center"/>
          </w:tcPr>
          <w:p w14:paraId="41C24EA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840" w:type="dxa"/>
            <w:noWrap w:val="0"/>
            <w:vAlign w:val="center"/>
          </w:tcPr>
          <w:p w14:paraId="4F4B6C0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7" w:type="dxa"/>
            <w:noWrap w:val="0"/>
            <w:vAlign w:val="center"/>
          </w:tcPr>
          <w:p w14:paraId="6221E42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38" w:type="dxa"/>
            <w:noWrap w:val="0"/>
            <w:vAlign w:val="center"/>
          </w:tcPr>
          <w:p w14:paraId="5AD2920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5" w:type="dxa"/>
            <w:noWrap w:val="0"/>
            <w:vAlign w:val="center"/>
          </w:tcPr>
          <w:p w14:paraId="26CF874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690" w:type="dxa"/>
            <w:noWrap w:val="0"/>
            <w:vAlign w:val="center"/>
          </w:tcPr>
          <w:p w14:paraId="263F916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50" w:type="dxa"/>
            <w:noWrap w:val="0"/>
            <w:vAlign w:val="center"/>
          </w:tcPr>
          <w:p w14:paraId="2D20961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05" w:type="dxa"/>
            <w:noWrap w:val="0"/>
            <w:vAlign w:val="center"/>
          </w:tcPr>
          <w:p w14:paraId="7860C9E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5" w:type="dxa"/>
            <w:noWrap w:val="0"/>
            <w:vAlign w:val="center"/>
          </w:tcPr>
          <w:p w14:paraId="5061F7C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85" w:type="dxa"/>
            <w:noWrap w:val="0"/>
            <w:vAlign w:val="center"/>
          </w:tcPr>
          <w:p w14:paraId="7E48B65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28" w:type="dxa"/>
            <w:noWrap w:val="0"/>
            <w:vAlign w:val="center"/>
          </w:tcPr>
          <w:p w14:paraId="47957B6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692" w:type="dxa"/>
            <w:noWrap w:val="0"/>
            <w:vAlign w:val="center"/>
          </w:tcPr>
          <w:p w14:paraId="27C27BC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551" w:type="dxa"/>
            <w:noWrap w:val="0"/>
            <w:vAlign w:val="center"/>
          </w:tcPr>
          <w:p w14:paraId="6F951E1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r>
    </w:tbl>
    <w:p w14:paraId="5E7F0BCD">
      <w:pPr>
        <w:pStyle w:val="5"/>
        <w:ind w:left="0" w:leftChars="0" w:firstLine="0" w:firstLineChars="0"/>
        <w:rPr>
          <w:rFonts w:hint="eastAsia" w:ascii="黑体" w:hAnsi="黑体" w:eastAsia="黑体" w:cs="黑体"/>
          <w:color w:val="000000"/>
          <w:kern w:val="0"/>
          <w:szCs w:val="32"/>
        </w:rPr>
      </w:pPr>
    </w:p>
    <w:p w14:paraId="1DE81B15">
      <w:pPr>
        <w:pStyle w:val="5"/>
        <w:ind w:left="0" w:leftChars="0" w:firstLine="0" w:firstLineChars="0"/>
        <w:rPr>
          <w:rFonts w:hint="eastAsia" w:ascii="黑体" w:hAnsi="黑体" w:eastAsia="黑体" w:cs="黑体"/>
          <w:color w:val="000000"/>
          <w:kern w:val="0"/>
          <w:szCs w:val="32"/>
        </w:rPr>
      </w:pPr>
    </w:p>
    <w:p w14:paraId="5A6248C8">
      <w:pPr>
        <w:pStyle w:val="5"/>
        <w:ind w:left="0" w:leftChars="0" w:firstLine="0" w:firstLineChars="0"/>
        <w:rPr>
          <w:rFonts w:hint="eastAsia" w:ascii="黑体" w:hAnsi="黑体" w:eastAsia="黑体" w:cs="黑体"/>
          <w:color w:val="000000"/>
          <w:kern w:val="0"/>
          <w:szCs w:val="32"/>
        </w:rPr>
      </w:pPr>
    </w:p>
    <w:p w14:paraId="7E84C9DB">
      <w:pPr>
        <w:pStyle w:val="5"/>
        <w:ind w:left="0" w:leftChars="0" w:firstLine="0" w:firstLineChars="0"/>
        <w:rPr>
          <w:rFonts w:hint="eastAsia" w:ascii="黑体" w:hAnsi="黑体" w:eastAsia="黑体" w:cs="黑体"/>
          <w:color w:val="000000"/>
          <w:kern w:val="0"/>
          <w:szCs w:val="32"/>
        </w:rPr>
      </w:pPr>
    </w:p>
    <w:p w14:paraId="3F9208C0">
      <w:pPr>
        <w:pStyle w:val="5"/>
        <w:ind w:left="0" w:leftChars="0" w:firstLine="0" w:firstLineChars="0"/>
        <w:rPr>
          <w:rFonts w:hint="eastAsia" w:ascii="黑体" w:hAnsi="黑体" w:eastAsia="黑体" w:cs="黑体"/>
          <w:color w:val="000000"/>
          <w:kern w:val="0"/>
          <w:szCs w:val="32"/>
        </w:rPr>
      </w:pPr>
    </w:p>
    <w:p w14:paraId="10A67C95">
      <w:pPr>
        <w:pStyle w:val="5"/>
        <w:ind w:left="0" w:leftChars="0" w:firstLine="0" w:firstLineChars="0"/>
        <w:rPr>
          <w:rFonts w:hint="eastAsia" w:ascii="黑体" w:hAnsi="黑体" w:eastAsia="黑体" w:cs="黑体"/>
          <w:color w:val="000000"/>
          <w:kern w:val="0"/>
          <w:szCs w:val="32"/>
        </w:rPr>
      </w:pPr>
    </w:p>
    <w:p w14:paraId="35259A13">
      <w:pPr>
        <w:pStyle w:val="5"/>
        <w:ind w:left="0" w:leftChars="0" w:firstLine="0" w:firstLineChars="0"/>
        <w:rPr>
          <w:rFonts w:hint="eastAsia" w:ascii="黑体" w:hAnsi="黑体" w:eastAsia="黑体" w:cs="黑体"/>
          <w:color w:val="000000"/>
          <w:kern w:val="0"/>
          <w:szCs w:val="32"/>
        </w:rPr>
      </w:pPr>
    </w:p>
    <w:p w14:paraId="5DFCC2F2">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color w:val="000000"/>
          <w:sz w:val="24"/>
          <w:szCs w:val="24"/>
          <w:lang w:val="en-US" w:eastAsia="zh-CN"/>
        </w:rPr>
      </w:pPr>
    </w:p>
    <w:p w14:paraId="6BB47CC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altName w:val="汉仪书宋二KW"/>
    <w:panose1 w:val="02010600010101010101"/>
    <w:charset w:val="00"/>
    <w:family w:val="auto"/>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华文中宋">
    <w:altName w:val="汉仪书宋二KW"/>
    <w:panose1 w:val="02010600040101010101"/>
    <w:charset w:val="00"/>
    <w:family w:val="auto"/>
    <w:pitch w:val="default"/>
    <w:sig w:usb0="00000000" w:usb1="00000000" w:usb2="00000000" w:usb3="00000000" w:csb0="0004009F" w:csb1="DFD70000"/>
  </w:font>
  <w:font w:name="汉仪楷体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D3390"/>
    <w:rsid w:val="5FFD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 w:cs="Times New Roman"/>
      <w:kern w:val="2"/>
      <w:sz w:val="32"/>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line="560" w:lineRule="exact"/>
      <w:ind w:firstLine="420" w:firstLineChars="200"/>
    </w:pPr>
    <w:rPr>
      <w:rFonts w:ascii="方正仿宋_GBK" w:hAnsi="方正仿宋_GBK" w:eastAsia="方正仿宋_GBK" w:cs="Times New Roman"/>
      <w:sz w:val="32"/>
      <w:szCs w:val="22"/>
    </w:rPr>
  </w:style>
  <w:style w:type="paragraph" w:styleId="3">
    <w:name w:val="Normal Indent"/>
    <w:basedOn w:val="1"/>
    <w:qFormat/>
    <w:uiPriority w:val="0"/>
    <w:pPr>
      <w:tabs>
        <w:tab w:val="left" w:pos="4117"/>
      </w:tabs>
      <w:overflowPunct w:val="0"/>
      <w:autoSpaceDE w:val="0"/>
      <w:autoSpaceDN w:val="0"/>
      <w:adjustRightInd w:val="0"/>
      <w:spacing w:line="500" w:lineRule="exact"/>
      <w:ind w:firstLine="200" w:firstLineChars="200"/>
    </w:pPr>
    <w:rPr>
      <w:rFonts w:ascii="宋体" w:hAnsi="宋体"/>
      <w:spacing w:val="-20"/>
      <w:kern w:val="0"/>
      <w:sz w:val="24"/>
      <w:szCs w:val="32"/>
    </w:rPr>
  </w:style>
  <w:style w:type="paragraph" w:styleId="4">
    <w:name w:val="Body Text Indent"/>
    <w:basedOn w:val="1"/>
    <w:qFormat/>
    <w:uiPriority w:val="0"/>
    <w:pPr>
      <w:spacing w:after="120"/>
      <w:ind w:left="420" w:leftChars="200"/>
    </w:pPr>
  </w:style>
  <w:style w:type="paragraph" w:styleId="5">
    <w:name w:val="Body Text First Indent 2"/>
    <w:basedOn w:val="4"/>
    <w:unhideWhenUsed/>
    <w:qFormat/>
    <w:uiPriority w:val="99"/>
    <w:pPr>
      <w:ind w:firstLine="420" w:firstLineChars="200"/>
    </w:pPr>
  </w:style>
  <w:style w:type="table" w:styleId="7">
    <w:name w:val="Table Grid"/>
    <w:basedOn w:val="6"/>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样式 正文缩进正文（首行缩进两字）正文2 + 首行缩进:  2 字符 + 首行缩进:  2 字符"/>
    <w:qFormat/>
    <w:uiPriority w:val="0"/>
    <w:pPr>
      <w:widowControl w:val="0"/>
      <w:snapToGrid w:val="0"/>
      <w:spacing w:after="160" w:line="324" w:lineRule="auto"/>
      <w:ind w:firstLine="600"/>
      <w:jc w:val="both"/>
    </w:pPr>
    <w:rPr>
      <w:rFonts w:ascii="Times New Roman" w:hAnsi="宋体" w:eastAsia="宋体" w:cs="宋体"/>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2025-08-14T10:31:00Z</dcterms:created>
  <dc:creator>gaoxing</dc:creator>
  <cp:lastModifiedBy>gaoxing</cp:lastModifiedBy>
  <dcterms:modified xsi:type="dcterms:W3CDTF">2025-08-14T10:32:23Z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554094F76BB2BB069B4A9D68A9B836E8_41</vt:lpwstr>
  </property>
</Properties>
</file>