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A7B96">
      <w:pPr>
        <w:keepNext w:val="0"/>
        <w:keepLines w:val="0"/>
        <w:pageBreakBefore w:val="0"/>
        <w:widowControl w:val="0"/>
        <w:kinsoku/>
        <w:wordWrap/>
        <w:overflowPunct/>
        <w:topLinePunct w:val="0"/>
        <w:autoSpaceDE/>
        <w:autoSpaceDN/>
        <w:bidi w:val="0"/>
        <w:adjustRightInd/>
        <w:snapToGrid/>
        <w:spacing w:line="600" w:lineRule="exact"/>
        <w:ind w:left="-414" w:leftChars="-133" w:firstLine="477" w:firstLineChars="153"/>
        <w:textAlignment w:val="auto"/>
        <w:outlineLvl w:val="9"/>
        <w:rPr>
          <w:rFonts w:ascii="黑体" w:eastAsia="黑体"/>
          <w:color w:val="000000"/>
        </w:rPr>
      </w:pPr>
      <w:r>
        <w:rPr>
          <w:rFonts w:ascii="黑体" w:eastAsia="黑体"/>
          <w:color w:val="000000"/>
        </w:rPr>
        <w:t>附件</w:t>
      </w:r>
    </w:p>
    <w:p w14:paraId="0E07B5EE">
      <w:pPr>
        <w:pStyle w:val="4"/>
        <w:spacing w:after="0" w:line="600" w:lineRule="exact"/>
        <w:rPr>
          <w:rFonts w:hint="eastAsia"/>
          <w:color w:val="000000"/>
        </w:rPr>
      </w:pPr>
    </w:p>
    <w:p w14:paraId="6EEEF753">
      <w:pPr>
        <w:keepNext w:val="0"/>
        <w:keepLines w:val="0"/>
        <w:pageBreakBefore w:val="0"/>
        <w:widowControl w:val="0"/>
        <w:kinsoku/>
        <w:wordWrap/>
        <w:overflowPunct/>
        <w:topLinePunct w:val="0"/>
        <w:autoSpaceDE/>
        <w:autoSpaceDN/>
        <w:bidi w:val="0"/>
        <w:adjustRightInd/>
        <w:snapToGrid/>
        <w:spacing w:line="600" w:lineRule="exact"/>
        <w:ind w:left="0" w:firstLine="0"/>
        <w:jc w:val="center"/>
        <w:textAlignment w:val="auto"/>
        <w:outlineLvl w:val="9"/>
        <w:rPr>
          <w:rFonts w:hint="eastAsia" w:ascii="方正小标宋简体" w:eastAsia="方正小标宋简体"/>
          <w:color w:val="000000"/>
          <w:sz w:val="44"/>
          <w:szCs w:val="44"/>
        </w:rPr>
      </w:pPr>
      <w:bookmarkStart w:id="1" w:name="_GoBack"/>
      <w:r>
        <w:rPr>
          <w:rFonts w:hint="eastAsia" w:ascii="方正小标宋简体" w:eastAsia="方正小标宋简体"/>
          <w:color w:val="000000"/>
          <w:sz w:val="44"/>
          <w:szCs w:val="44"/>
        </w:rPr>
        <w:t>省级挂牌督办安全</w:t>
      </w:r>
      <w:r>
        <w:rPr>
          <w:rFonts w:hint="eastAsia" w:ascii="方正小标宋简体" w:eastAsia="方正小标宋简体"/>
          <w:color w:val="000000"/>
          <w:sz w:val="44"/>
          <w:szCs w:val="44"/>
          <w:lang w:eastAsia="zh-CN"/>
        </w:rPr>
        <w:t>生产</w:t>
      </w:r>
      <w:r>
        <w:rPr>
          <w:rFonts w:hint="eastAsia" w:ascii="方正小标宋简体" w:eastAsia="方正小标宋简体"/>
          <w:color w:val="000000"/>
          <w:sz w:val="44"/>
          <w:szCs w:val="44"/>
        </w:rPr>
        <w:t>重大</w:t>
      </w:r>
      <w:r>
        <w:rPr>
          <w:rFonts w:hint="eastAsia" w:ascii="方正小标宋简体" w:eastAsia="方正小标宋简体"/>
          <w:color w:val="000000"/>
          <w:sz w:val="44"/>
          <w:szCs w:val="44"/>
          <w:lang w:val="en-US" w:eastAsia="zh-CN"/>
        </w:rPr>
        <w:t>事故</w:t>
      </w:r>
      <w:r>
        <w:rPr>
          <w:rFonts w:hint="eastAsia" w:ascii="方正小标宋简体" w:eastAsia="方正小标宋简体"/>
          <w:color w:val="000000"/>
          <w:sz w:val="44"/>
          <w:szCs w:val="44"/>
        </w:rPr>
        <w:t>隐患销号明细表</w:t>
      </w:r>
      <w:bookmarkEnd w:id="1"/>
    </w:p>
    <w:p w14:paraId="5987AC1A">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eastAsia" w:ascii="黑体" w:eastAsia="黑体"/>
          <w:color w:val="000000"/>
        </w:rPr>
      </w:pPr>
    </w:p>
    <w:tbl>
      <w:tblPr>
        <w:tblStyle w:val="6"/>
        <w:tblW w:w="14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92"/>
        <w:gridCol w:w="736"/>
        <w:gridCol w:w="3488"/>
        <w:gridCol w:w="1900"/>
        <w:gridCol w:w="1184"/>
        <w:gridCol w:w="1650"/>
        <w:gridCol w:w="1415"/>
        <w:gridCol w:w="1140"/>
      </w:tblGrid>
      <w:tr w14:paraId="5A591229">
        <w:trPr>
          <w:trHeight w:val="877" w:hRule="atLeast"/>
          <w:tblHeader/>
          <w:jc w:val="center"/>
        </w:trPr>
        <w:tc>
          <w:tcPr>
            <w:tcW w:w="840" w:type="dxa"/>
            <w:tcBorders>
              <w:tl2br w:val="nil"/>
              <w:tr2bl w:val="nil"/>
            </w:tcBorders>
            <w:noWrap/>
            <w:vAlign w:val="center"/>
          </w:tcPr>
          <w:p w14:paraId="016A723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lang w:eastAsia="zh-CN"/>
              </w:rPr>
            </w:pPr>
            <w:r>
              <w:rPr>
                <w:rFonts w:hint="eastAsia" w:ascii="黑体" w:eastAsia="黑体" w:cs="黑体"/>
                <w:b w:val="0"/>
                <w:bCs/>
                <w:color w:val="000000"/>
                <w:kern w:val="0"/>
                <w:sz w:val="24"/>
                <w:szCs w:val="24"/>
                <w:highlight w:val="none"/>
                <w:lang w:eastAsia="zh-CN"/>
              </w:rPr>
              <w:t>序号</w:t>
            </w:r>
          </w:p>
        </w:tc>
        <w:tc>
          <w:tcPr>
            <w:tcW w:w="2592" w:type="dxa"/>
            <w:tcBorders>
              <w:tl2br w:val="nil"/>
              <w:tr2bl w:val="nil"/>
            </w:tcBorders>
            <w:noWrap/>
            <w:vAlign w:val="center"/>
          </w:tcPr>
          <w:p w14:paraId="3C3CFF7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隐患名称</w:t>
            </w:r>
          </w:p>
        </w:tc>
        <w:tc>
          <w:tcPr>
            <w:tcW w:w="736" w:type="dxa"/>
            <w:tcBorders>
              <w:tl2br w:val="nil"/>
              <w:tr2bl w:val="nil"/>
            </w:tcBorders>
            <w:noWrap/>
            <w:vAlign w:val="center"/>
          </w:tcPr>
          <w:p w14:paraId="034A5F2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行业</w:t>
            </w:r>
          </w:p>
          <w:p w14:paraId="08E8609A">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分类</w:t>
            </w:r>
          </w:p>
        </w:tc>
        <w:tc>
          <w:tcPr>
            <w:tcW w:w="3488" w:type="dxa"/>
            <w:tcBorders>
              <w:tl2br w:val="nil"/>
              <w:tr2bl w:val="nil"/>
            </w:tcBorders>
            <w:noWrap/>
            <w:vAlign w:val="center"/>
          </w:tcPr>
          <w:p w14:paraId="24FFDF8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隐患基本情况</w:t>
            </w:r>
          </w:p>
        </w:tc>
        <w:tc>
          <w:tcPr>
            <w:tcW w:w="1900" w:type="dxa"/>
            <w:tcBorders>
              <w:tl2br w:val="nil"/>
              <w:tr2bl w:val="nil"/>
            </w:tcBorders>
            <w:noWrap/>
            <w:vAlign w:val="center"/>
          </w:tcPr>
          <w:p w14:paraId="3D513AF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治理责任单位</w:t>
            </w:r>
          </w:p>
        </w:tc>
        <w:tc>
          <w:tcPr>
            <w:tcW w:w="1184" w:type="dxa"/>
            <w:tcBorders>
              <w:tl2br w:val="nil"/>
              <w:tr2bl w:val="nil"/>
            </w:tcBorders>
            <w:noWrap/>
            <w:vAlign w:val="center"/>
          </w:tcPr>
          <w:p w14:paraId="03BB997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属地监管</w:t>
            </w:r>
          </w:p>
          <w:p w14:paraId="32EF9E7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责任单位</w:t>
            </w:r>
          </w:p>
        </w:tc>
        <w:tc>
          <w:tcPr>
            <w:tcW w:w="1650" w:type="dxa"/>
            <w:tcBorders>
              <w:tl2br w:val="nil"/>
              <w:tr2bl w:val="nil"/>
            </w:tcBorders>
            <w:noWrap/>
            <w:vAlign w:val="center"/>
          </w:tcPr>
          <w:p w14:paraId="4D7FED0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行业督办单位</w:t>
            </w:r>
          </w:p>
        </w:tc>
        <w:tc>
          <w:tcPr>
            <w:tcW w:w="1415" w:type="dxa"/>
            <w:tcBorders>
              <w:tl2br w:val="nil"/>
              <w:tr2bl w:val="nil"/>
            </w:tcBorders>
            <w:noWrap/>
            <w:vAlign w:val="center"/>
          </w:tcPr>
          <w:p w14:paraId="66A6743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整改时限</w:t>
            </w:r>
          </w:p>
        </w:tc>
        <w:tc>
          <w:tcPr>
            <w:tcW w:w="1140" w:type="dxa"/>
            <w:tcBorders>
              <w:tl2br w:val="nil"/>
              <w:tr2bl w:val="nil"/>
            </w:tcBorders>
            <w:noWrap/>
            <w:vAlign w:val="center"/>
          </w:tcPr>
          <w:p w14:paraId="6059BD9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销号</w:t>
            </w:r>
          </w:p>
          <w:p w14:paraId="4FDA1FE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rPr>
            </w:pPr>
            <w:r>
              <w:rPr>
                <w:rFonts w:hint="eastAsia" w:ascii="黑体" w:eastAsia="黑体" w:cs="黑体"/>
                <w:b w:val="0"/>
                <w:bCs/>
                <w:color w:val="000000"/>
                <w:kern w:val="0"/>
                <w:sz w:val="24"/>
                <w:szCs w:val="24"/>
                <w:highlight w:val="none"/>
              </w:rPr>
              <w:t>意见</w:t>
            </w:r>
          </w:p>
        </w:tc>
      </w:tr>
      <w:tr w14:paraId="4C91B6E9">
        <w:trPr>
          <w:trHeight w:val="1702" w:hRule="atLeast"/>
          <w:jc w:val="center"/>
        </w:trPr>
        <w:tc>
          <w:tcPr>
            <w:tcW w:w="840" w:type="dxa"/>
            <w:tcBorders>
              <w:tl2br w:val="nil"/>
              <w:tr2bl w:val="nil"/>
            </w:tcBorders>
            <w:noWrap/>
            <w:vAlign w:val="center"/>
          </w:tcPr>
          <w:p w14:paraId="629FBEA6">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1</w:t>
            </w:r>
          </w:p>
        </w:tc>
        <w:tc>
          <w:tcPr>
            <w:tcW w:w="2592" w:type="dxa"/>
            <w:tcBorders>
              <w:tl2br w:val="nil"/>
              <w:tr2bl w:val="nil"/>
            </w:tcBorders>
            <w:noWrap/>
            <w:vAlign w:val="center"/>
          </w:tcPr>
          <w:p w14:paraId="7EB5D174">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府谷县隆鑫化工有限责任公司庙沟门油页岩矿人员定位系统未正常投入使用安全隐患</w:t>
            </w:r>
          </w:p>
        </w:tc>
        <w:tc>
          <w:tcPr>
            <w:tcW w:w="736" w:type="dxa"/>
            <w:tcBorders>
              <w:tl2br w:val="nil"/>
              <w:tr2bl w:val="nil"/>
            </w:tcBorders>
            <w:noWrap/>
            <w:vAlign w:val="center"/>
          </w:tcPr>
          <w:p w14:paraId="45A3F7C7">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非煤</w:t>
            </w:r>
          </w:p>
          <w:p w14:paraId="37F7B55D">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lang w:val="en-US" w:eastAsia="zh-CN"/>
              </w:rPr>
            </w:pPr>
            <w:r>
              <w:rPr>
                <w:rFonts w:hint="eastAsia" w:ascii="仿宋"/>
                <w:b w:val="0"/>
                <w:bCs w:val="0"/>
                <w:color w:val="000000"/>
                <w:sz w:val="24"/>
                <w:szCs w:val="24"/>
                <w:lang w:val="en-US" w:eastAsia="zh-CN"/>
              </w:rPr>
              <w:t>矿山</w:t>
            </w:r>
          </w:p>
        </w:tc>
        <w:tc>
          <w:tcPr>
            <w:tcW w:w="3488" w:type="dxa"/>
            <w:tcBorders>
              <w:tl2br w:val="nil"/>
              <w:tr2bl w:val="nil"/>
            </w:tcBorders>
            <w:noWrap/>
            <w:vAlign w:val="center"/>
          </w:tcPr>
          <w:p w14:paraId="6E68A98E">
            <w:pPr>
              <w:widowControl/>
              <w:kinsoku w:val="0"/>
              <w:autoSpaceDE w:val="0"/>
              <w:autoSpaceDN w:val="0"/>
              <w:adjustRightInd/>
              <w:snapToGrid/>
              <w:spacing w:line="300" w:lineRule="exact"/>
              <w:jc w:val="both"/>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矿山在基建过程中未同步建设完善人员定位系统且未正常投入使用。</w:t>
            </w:r>
          </w:p>
        </w:tc>
        <w:tc>
          <w:tcPr>
            <w:tcW w:w="1900" w:type="dxa"/>
            <w:tcBorders>
              <w:tl2br w:val="nil"/>
              <w:tr2bl w:val="nil"/>
            </w:tcBorders>
            <w:noWrap/>
            <w:vAlign w:val="center"/>
          </w:tcPr>
          <w:p w14:paraId="470B1F27">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府谷县隆鑫化工有限责任公司庙沟门油页岩矿</w:t>
            </w:r>
          </w:p>
        </w:tc>
        <w:tc>
          <w:tcPr>
            <w:tcW w:w="1184" w:type="dxa"/>
            <w:tcBorders>
              <w:tl2br w:val="nil"/>
              <w:tr2bl w:val="nil"/>
            </w:tcBorders>
            <w:noWrap/>
            <w:vAlign w:val="center"/>
          </w:tcPr>
          <w:p w14:paraId="21A51C8B">
            <w:pPr>
              <w:widowControl/>
              <w:kinsoku w:val="0"/>
              <w:autoSpaceDE w:val="0"/>
              <w:autoSpaceDN w:val="0"/>
              <w:adjustRightInd/>
              <w:snapToGrid/>
              <w:spacing w:line="300" w:lineRule="exact"/>
              <w:jc w:val="center"/>
              <w:textAlignment w:val="baseline"/>
              <w:rPr>
                <w:rFonts w:hint="eastAsia"/>
                <w:b w:val="0"/>
                <w:bCs w:val="0"/>
                <w:color w:val="000000"/>
                <w:sz w:val="24"/>
                <w:szCs w:val="24"/>
                <w:lang w:eastAsia="zh-CN"/>
              </w:rPr>
            </w:pPr>
            <w:r>
              <w:rPr>
                <w:rFonts w:hint="eastAsia"/>
                <w:b w:val="0"/>
                <w:bCs w:val="0"/>
                <w:color w:val="000000"/>
                <w:sz w:val="24"/>
                <w:szCs w:val="24"/>
                <w:lang w:eastAsia="zh-CN"/>
              </w:rPr>
              <w:t>榆林市</w:t>
            </w:r>
          </w:p>
          <w:p w14:paraId="0F5C914B">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b w:val="0"/>
                <w:bCs w:val="0"/>
                <w:color w:val="000000"/>
                <w:sz w:val="24"/>
                <w:szCs w:val="24"/>
                <w:lang w:eastAsia="zh-CN"/>
              </w:rPr>
              <w:t>人民政府</w:t>
            </w:r>
          </w:p>
        </w:tc>
        <w:tc>
          <w:tcPr>
            <w:tcW w:w="1650" w:type="dxa"/>
            <w:tcBorders>
              <w:tl2br w:val="nil"/>
              <w:tr2bl w:val="nil"/>
            </w:tcBorders>
            <w:noWrap/>
            <w:vAlign w:val="center"/>
          </w:tcPr>
          <w:p w14:paraId="72DAFCB5">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省应急管理厅</w:t>
            </w:r>
          </w:p>
        </w:tc>
        <w:tc>
          <w:tcPr>
            <w:tcW w:w="1415" w:type="dxa"/>
            <w:tcBorders>
              <w:tl2br w:val="nil"/>
              <w:tr2bl w:val="nil"/>
            </w:tcBorders>
            <w:noWrap/>
            <w:vAlign w:val="center"/>
          </w:tcPr>
          <w:p w14:paraId="244D9356">
            <w:pPr>
              <w:spacing w:line="300" w:lineRule="exact"/>
              <w:jc w:val="center"/>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2025年5月10日</w:t>
            </w:r>
          </w:p>
        </w:tc>
        <w:tc>
          <w:tcPr>
            <w:tcW w:w="1140" w:type="dxa"/>
            <w:tcBorders>
              <w:tl2br w:val="nil"/>
              <w:tr2bl w:val="nil"/>
            </w:tcBorders>
            <w:noWrap/>
            <w:vAlign w:val="center"/>
          </w:tcPr>
          <w:p w14:paraId="2CFB575F">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4"/>
                <w:szCs w:val="24"/>
                <w:highlight w:val="none"/>
                <w:u w:val="none"/>
                <w:lang w:val="en-US" w:eastAsia="zh-CN"/>
              </w:rPr>
            </w:pPr>
            <w:r>
              <w:rPr>
                <w:rFonts w:hint="eastAsia" w:ascii="仿宋" w:eastAsia="仿宋" w:cs="仿宋"/>
                <w:i w:val="0"/>
                <w:color w:val="000000"/>
                <w:kern w:val="0"/>
                <w:sz w:val="24"/>
                <w:szCs w:val="24"/>
                <w:highlight w:val="none"/>
                <w:u w:val="none"/>
                <w:lang w:val="en-US" w:eastAsia="zh-CN"/>
              </w:rPr>
              <w:t>同意</w:t>
            </w:r>
          </w:p>
          <w:p w14:paraId="1E75B14F">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4"/>
                <w:szCs w:val="24"/>
                <w:highlight w:val="none"/>
                <w:u w:val="none"/>
                <w:lang w:val="en-US" w:eastAsia="zh-CN"/>
              </w:rPr>
            </w:pPr>
            <w:r>
              <w:rPr>
                <w:rFonts w:hint="eastAsia" w:ascii="仿宋" w:eastAsia="仿宋" w:cs="仿宋"/>
                <w:i w:val="0"/>
                <w:color w:val="000000"/>
                <w:kern w:val="0"/>
                <w:sz w:val="24"/>
                <w:szCs w:val="24"/>
                <w:highlight w:val="none"/>
                <w:u w:val="none"/>
                <w:lang w:val="en-US" w:eastAsia="zh-CN"/>
              </w:rPr>
              <w:t>销号</w:t>
            </w:r>
          </w:p>
        </w:tc>
      </w:tr>
      <w:tr w14:paraId="45C8F847">
        <w:trPr>
          <w:trHeight w:val="3955" w:hRule="atLeast"/>
          <w:jc w:val="center"/>
        </w:trPr>
        <w:tc>
          <w:tcPr>
            <w:tcW w:w="840" w:type="dxa"/>
            <w:tcBorders>
              <w:tl2br w:val="nil"/>
              <w:tr2bl w:val="nil"/>
            </w:tcBorders>
            <w:noWrap/>
            <w:vAlign w:val="center"/>
          </w:tcPr>
          <w:p w14:paraId="5BF68441">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2</w:t>
            </w:r>
          </w:p>
        </w:tc>
        <w:tc>
          <w:tcPr>
            <w:tcW w:w="2592" w:type="dxa"/>
            <w:tcBorders>
              <w:tl2br w:val="nil"/>
              <w:tr2bl w:val="nil"/>
            </w:tcBorders>
            <w:noWrap/>
            <w:vAlign w:val="center"/>
          </w:tcPr>
          <w:p w14:paraId="65FCCEC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府谷县隆鑫化工有限责任公司庙沟门油页岩矿矿山二盘区相关采掘工作面上部防隔水矿岩柱不足20m且与上部中联前阳洼煤矿采空区贯通安全隐患</w:t>
            </w:r>
          </w:p>
        </w:tc>
        <w:tc>
          <w:tcPr>
            <w:tcW w:w="736" w:type="dxa"/>
            <w:tcBorders>
              <w:tl2br w:val="nil"/>
              <w:tr2bl w:val="nil"/>
            </w:tcBorders>
            <w:noWrap/>
            <w:vAlign w:val="center"/>
          </w:tcPr>
          <w:p w14:paraId="0DC5531D">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非煤</w:t>
            </w:r>
          </w:p>
          <w:p w14:paraId="425B4095">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lang w:val="en-US" w:eastAsia="zh-CN"/>
              </w:rPr>
            </w:pPr>
            <w:r>
              <w:rPr>
                <w:rFonts w:hint="eastAsia" w:ascii="仿宋"/>
                <w:b w:val="0"/>
                <w:bCs w:val="0"/>
                <w:color w:val="000000"/>
                <w:sz w:val="24"/>
                <w:szCs w:val="24"/>
                <w:lang w:val="en-US" w:eastAsia="zh-CN"/>
              </w:rPr>
              <w:t>矿山</w:t>
            </w:r>
          </w:p>
        </w:tc>
        <w:tc>
          <w:tcPr>
            <w:tcW w:w="3488" w:type="dxa"/>
            <w:tcBorders>
              <w:tl2br w:val="nil"/>
              <w:tr2bl w:val="nil"/>
            </w:tcBorders>
            <w:noWrap/>
            <w:vAlign w:val="center"/>
          </w:tcPr>
          <w:p w14:paraId="1EA82ED7">
            <w:pPr>
              <w:widowControl/>
              <w:kinsoku w:val="0"/>
              <w:autoSpaceDE w:val="0"/>
              <w:autoSpaceDN w:val="0"/>
              <w:adjustRightInd/>
              <w:snapToGrid/>
              <w:spacing w:line="300" w:lineRule="exact"/>
              <w:jc w:val="both"/>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矿山二盘区相关采掘工作面与上部中联前阳洼煤矿已采完工作面重叠，两个相邻矿山形成的岩体移动范围交叉重叠，设计要求留设20m的井田防隔水矿岩柱，但根据当前油页岩矿的综采采矿方法，油页岩矿二盘区采矿工作面形成采空区塌落后，上部防隔水矿岩柱不足20m甚至与上部中联前阳洼煤矿采空区贯通。</w:t>
            </w:r>
          </w:p>
        </w:tc>
        <w:tc>
          <w:tcPr>
            <w:tcW w:w="1900" w:type="dxa"/>
            <w:tcBorders>
              <w:tl2br w:val="nil"/>
              <w:tr2bl w:val="nil"/>
            </w:tcBorders>
            <w:noWrap/>
            <w:vAlign w:val="center"/>
          </w:tcPr>
          <w:p w14:paraId="5AA3ED94">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府谷县隆鑫化工有限责任公司庙沟门油页岩矿</w:t>
            </w:r>
          </w:p>
        </w:tc>
        <w:tc>
          <w:tcPr>
            <w:tcW w:w="1184" w:type="dxa"/>
            <w:tcBorders>
              <w:tl2br w:val="nil"/>
              <w:tr2bl w:val="nil"/>
            </w:tcBorders>
            <w:noWrap/>
            <w:vAlign w:val="center"/>
          </w:tcPr>
          <w:p w14:paraId="039FBAE9">
            <w:pPr>
              <w:widowControl/>
              <w:kinsoku w:val="0"/>
              <w:autoSpaceDE w:val="0"/>
              <w:autoSpaceDN w:val="0"/>
              <w:adjustRightInd/>
              <w:snapToGrid/>
              <w:spacing w:line="300" w:lineRule="exact"/>
              <w:jc w:val="center"/>
              <w:textAlignment w:val="baseline"/>
              <w:rPr>
                <w:rFonts w:hint="eastAsia"/>
                <w:b w:val="0"/>
                <w:bCs w:val="0"/>
                <w:color w:val="000000"/>
                <w:sz w:val="24"/>
                <w:szCs w:val="24"/>
                <w:lang w:eastAsia="zh-CN"/>
              </w:rPr>
            </w:pPr>
            <w:r>
              <w:rPr>
                <w:rFonts w:hint="eastAsia"/>
                <w:b w:val="0"/>
                <w:bCs w:val="0"/>
                <w:color w:val="000000"/>
                <w:sz w:val="24"/>
                <w:szCs w:val="24"/>
                <w:lang w:eastAsia="zh-CN"/>
              </w:rPr>
              <w:t>榆林市</w:t>
            </w:r>
          </w:p>
          <w:p w14:paraId="1F7186A5">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b w:val="0"/>
                <w:bCs w:val="0"/>
                <w:color w:val="000000"/>
                <w:sz w:val="24"/>
                <w:szCs w:val="24"/>
                <w:lang w:eastAsia="zh-CN"/>
              </w:rPr>
              <w:t>人民政府</w:t>
            </w:r>
          </w:p>
        </w:tc>
        <w:tc>
          <w:tcPr>
            <w:tcW w:w="1650" w:type="dxa"/>
            <w:tcBorders>
              <w:tl2br w:val="nil"/>
              <w:tr2bl w:val="nil"/>
            </w:tcBorders>
            <w:noWrap/>
            <w:vAlign w:val="center"/>
          </w:tcPr>
          <w:p w14:paraId="4B2A0A17">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省应急管理厅</w:t>
            </w:r>
          </w:p>
        </w:tc>
        <w:tc>
          <w:tcPr>
            <w:tcW w:w="1415" w:type="dxa"/>
            <w:tcBorders>
              <w:tl2br w:val="nil"/>
              <w:tr2bl w:val="nil"/>
            </w:tcBorders>
            <w:noWrap/>
            <w:vAlign w:val="center"/>
          </w:tcPr>
          <w:p w14:paraId="5A39A7B5">
            <w:pPr>
              <w:spacing w:line="300" w:lineRule="exact"/>
              <w:jc w:val="center"/>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2025年9月30日</w:t>
            </w:r>
          </w:p>
        </w:tc>
        <w:tc>
          <w:tcPr>
            <w:tcW w:w="1140" w:type="dxa"/>
            <w:tcBorders>
              <w:tl2br w:val="nil"/>
              <w:tr2bl w:val="nil"/>
            </w:tcBorders>
            <w:noWrap/>
            <w:vAlign w:val="center"/>
          </w:tcPr>
          <w:p w14:paraId="7382EDCE">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同意</w:t>
            </w:r>
          </w:p>
          <w:p w14:paraId="4E163E1A">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highlight w:val="yellow"/>
                <w:u w:val="none"/>
                <w:lang w:val="en-US" w:eastAsia="zh-CN"/>
              </w:rPr>
            </w:pPr>
            <w:r>
              <w:rPr>
                <w:rFonts w:hint="eastAsia" w:ascii="仿宋" w:eastAsia="仿宋" w:cs="仿宋"/>
                <w:i w:val="0"/>
                <w:color w:val="000000"/>
                <w:kern w:val="0"/>
                <w:sz w:val="24"/>
                <w:szCs w:val="24"/>
                <w:u w:val="none"/>
                <w:lang w:val="en-US" w:eastAsia="zh-CN"/>
              </w:rPr>
              <w:t>销号</w:t>
            </w:r>
          </w:p>
        </w:tc>
      </w:tr>
      <w:tr w14:paraId="637FF637">
        <w:trPr>
          <w:trHeight w:val="2728" w:hRule="atLeast"/>
          <w:jc w:val="center"/>
        </w:trPr>
        <w:tc>
          <w:tcPr>
            <w:tcW w:w="840" w:type="dxa"/>
            <w:tcBorders>
              <w:tl2br w:val="nil"/>
              <w:tr2bl w:val="nil"/>
            </w:tcBorders>
            <w:noWrap/>
            <w:vAlign w:val="center"/>
          </w:tcPr>
          <w:p w14:paraId="66BAAFD1">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3</w:t>
            </w:r>
          </w:p>
        </w:tc>
        <w:tc>
          <w:tcPr>
            <w:tcW w:w="2592" w:type="dxa"/>
            <w:tcBorders>
              <w:tl2br w:val="nil"/>
              <w:tr2bl w:val="nil"/>
            </w:tcBorders>
            <w:noWrap/>
            <w:vAlign w:val="center"/>
          </w:tcPr>
          <w:p w14:paraId="2683F60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府谷县隆鑫化工有限责任公司庙沟门油页岩矿未编制完善的防治水技术方案或施工安全技术措施安全隐患</w:t>
            </w:r>
          </w:p>
        </w:tc>
        <w:tc>
          <w:tcPr>
            <w:tcW w:w="736" w:type="dxa"/>
            <w:tcBorders>
              <w:tl2br w:val="nil"/>
              <w:tr2bl w:val="nil"/>
            </w:tcBorders>
            <w:noWrap/>
            <w:vAlign w:val="center"/>
          </w:tcPr>
          <w:p w14:paraId="7E8E909F">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非煤</w:t>
            </w:r>
          </w:p>
          <w:p w14:paraId="44329870">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lang w:val="en-US" w:eastAsia="zh-CN"/>
              </w:rPr>
            </w:pPr>
            <w:r>
              <w:rPr>
                <w:rFonts w:hint="eastAsia" w:ascii="仿宋"/>
                <w:b w:val="0"/>
                <w:bCs w:val="0"/>
                <w:color w:val="000000"/>
                <w:sz w:val="24"/>
                <w:szCs w:val="24"/>
                <w:lang w:val="en-US" w:eastAsia="zh-CN"/>
              </w:rPr>
              <w:t>矿山</w:t>
            </w:r>
          </w:p>
        </w:tc>
        <w:tc>
          <w:tcPr>
            <w:tcW w:w="3488" w:type="dxa"/>
            <w:tcBorders>
              <w:tl2br w:val="nil"/>
              <w:tr2bl w:val="nil"/>
            </w:tcBorders>
            <w:noWrap/>
            <w:vAlign w:val="center"/>
          </w:tcPr>
          <w:p w14:paraId="6BA831A9">
            <w:pPr>
              <w:widowControl/>
              <w:kinsoku w:val="0"/>
              <w:autoSpaceDE w:val="0"/>
              <w:autoSpaceDN w:val="0"/>
              <w:adjustRightInd/>
              <w:snapToGrid/>
              <w:spacing w:line="300" w:lineRule="exact"/>
              <w:jc w:val="both"/>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矿山在二盘区基建掘进属于接近可能积水的井巷、采空区或临近其他矿山等突水威胁区域或可疑区域进行采掘作业的情形，企业未编制完善的防治水技术方案或制定完善的施工安全技术措施。</w:t>
            </w:r>
          </w:p>
        </w:tc>
        <w:tc>
          <w:tcPr>
            <w:tcW w:w="1900" w:type="dxa"/>
            <w:tcBorders>
              <w:tl2br w:val="nil"/>
              <w:tr2bl w:val="nil"/>
            </w:tcBorders>
            <w:noWrap/>
            <w:vAlign w:val="center"/>
          </w:tcPr>
          <w:p w14:paraId="26573E66">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府谷县隆鑫化工有限责任公司庙沟门油页岩矿</w:t>
            </w:r>
          </w:p>
        </w:tc>
        <w:tc>
          <w:tcPr>
            <w:tcW w:w="1184" w:type="dxa"/>
            <w:tcBorders>
              <w:tl2br w:val="nil"/>
              <w:tr2bl w:val="nil"/>
            </w:tcBorders>
            <w:noWrap/>
            <w:vAlign w:val="center"/>
          </w:tcPr>
          <w:p w14:paraId="14EF46A3">
            <w:pPr>
              <w:widowControl/>
              <w:kinsoku w:val="0"/>
              <w:autoSpaceDE w:val="0"/>
              <w:autoSpaceDN w:val="0"/>
              <w:adjustRightInd/>
              <w:snapToGrid/>
              <w:spacing w:line="300" w:lineRule="exact"/>
              <w:jc w:val="center"/>
              <w:textAlignment w:val="baseline"/>
              <w:rPr>
                <w:rFonts w:hint="eastAsia"/>
                <w:b w:val="0"/>
                <w:bCs w:val="0"/>
                <w:color w:val="000000"/>
                <w:sz w:val="24"/>
                <w:szCs w:val="24"/>
                <w:lang w:eastAsia="zh-CN"/>
              </w:rPr>
            </w:pPr>
            <w:r>
              <w:rPr>
                <w:rFonts w:hint="eastAsia"/>
                <w:b w:val="0"/>
                <w:bCs w:val="0"/>
                <w:color w:val="000000"/>
                <w:sz w:val="24"/>
                <w:szCs w:val="24"/>
                <w:lang w:eastAsia="zh-CN"/>
              </w:rPr>
              <w:t>榆林市</w:t>
            </w:r>
          </w:p>
          <w:p w14:paraId="207982C1">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b w:val="0"/>
                <w:bCs w:val="0"/>
                <w:color w:val="000000"/>
                <w:sz w:val="24"/>
                <w:szCs w:val="24"/>
                <w:lang w:eastAsia="zh-CN"/>
              </w:rPr>
              <w:t>人民政府</w:t>
            </w:r>
          </w:p>
        </w:tc>
        <w:tc>
          <w:tcPr>
            <w:tcW w:w="1650" w:type="dxa"/>
            <w:tcBorders>
              <w:tl2br w:val="nil"/>
              <w:tr2bl w:val="nil"/>
            </w:tcBorders>
            <w:noWrap/>
            <w:vAlign w:val="center"/>
          </w:tcPr>
          <w:p w14:paraId="20016B11">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省应急管理厅</w:t>
            </w:r>
          </w:p>
        </w:tc>
        <w:tc>
          <w:tcPr>
            <w:tcW w:w="1415" w:type="dxa"/>
            <w:tcBorders>
              <w:tl2br w:val="nil"/>
              <w:tr2bl w:val="nil"/>
            </w:tcBorders>
            <w:noWrap/>
            <w:vAlign w:val="center"/>
          </w:tcPr>
          <w:p w14:paraId="2557E99D">
            <w:pPr>
              <w:spacing w:line="300" w:lineRule="exact"/>
              <w:jc w:val="center"/>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2025年9月30日</w:t>
            </w:r>
          </w:p>
        </w:tc>
        <w:tc>
          <w:tcPr>
            <w:tcW w:w="1140" w:type="dxa"/>
            <w:tcBorders>
              <w:tl2br w:val="nil"/>
              <w:tr2bl w:val="nil"/>
            </w:tcBorders>
            <w:noWrap/>
            <w:vAlign w:val="center"/>
          </w:tcPr>
          <w:p w14:paraId="411210C8">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同意</w:t>
            </w:r>
          </w:p>
          <w:p w14:paraId="3ABDDE8A">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销号</w:t>
            </w:r>
          </w:p>
        </w:tc>
      </w:tr>
      <w:tr w14:paraId="6257797F">
        <w:trPr>
          <w:trHeight w:val="2521" w:hRule="atLeast"/>
          <w:jc w:val="center"/>
        </w:trPr>
        <w:tc>
          <w:tcPr>
            <w:tcW w:w="840" w:type="dxa"/>
            <w:tcBorders>
              <w:tl2br w:val="nil"/>
              <w:tr2bl w:val="nil"/>
            </w:tcBorders>
            <w:noWrap/>
            <w:vAlign w:val="center"/>
          </w:tcPr>
          <w:p w14:paraId="71464E8A">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4</w:t>
            </w:r>
          </w:p>
        </w:tc>
        <w:tc>
          <w:tcPr>
            <w:tcW w:w="2592" w:type="dxa"/>
            <w:tcBorders>
              <w:tl2br w:val="nil"/>
              <w:tr2bl w:val="nil"/>
            </w:tcBorders>
            <w:noWrap/>
            <w:vAlign w:val="center"/>
          </w:tcPr>
          <w:p w14:paraId="7B0B94D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清涧县源丰石材有限公司清涧县高杰村镇刘家村建筑用砂岩矿露天采场局部未形成台阶开采安全隐患</w:t>
            </w:r>
          </w:p>
        </w:tc>
        <w:tc>
          <w:tcPr>
            <w:tcW w:w="736" w:type="dxa"/>
            <w:tcBorders>
              <w:tl2br w:val="nil"/>
              <w:tr2bl w:val="nil"/>
            </w:tcBorders>
            <w:noWrap/>
            <w:vAlign w:val="center"/>
          </w:tcPr>
          <w:p w14:paraId="2E358FDF">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非煤</w:t>
            </w:r>
          </w:p>
          <w:p w14:paraId="67F522D9">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lang w:val="en-US" w:eastAsia="zh-CN"/>
              </w:rPr>
            </w:pPr>
            <w:r>
              <w:rPr>
                <w:rFonts w:hint="eastAsia" w:ascii="仿宋"/>
                <w:b w:val="0"/>
                <w:bCs w:val="0"/>
                <w:color w:val="000000"/>
                <w:sz w:val="24"/>
                <w:szCs w:val="24"/>
                <w:lang w:val="en-US" w:eastAsia="zh-CN"/>
              </w:rPr>
              <w:t>矿山</w:t>
            </w:r>
          </w:p>
        </w:tc>
        <w:tc>
          <w:tcPr>
            <w:tcW w:w="3488" w:type="dxa"/>
            <w:tcBorders>
              <w:tl2br w:val="nil"/>
              <w:tr2bl w:val="nil"/>
            </w:tcBorders>
            <w:noWrap/>
            <w:vAlign w:val="center"/>
          </w:tcPr>
          <w:p w14:paraId="738580DA">
            <w:pPr>
              <w:widowControl/>
              <w:kinsoku w:val="0"/>
              <w:autoSpaceDE w:val="0"/>
              <w:autoSpaceDN w:val="0"/>
              <w:adjustRightInd/>
              <w:snapToGrid/>
              <w:spacing w:line="300" w:lineRule="exact"/>
              <w:jc w:val="both"/>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矿山当前安全生产许可证范围内的露天采场局部未形成台阶开采，局部违规并段形成“一面墙”，且上部剥离不足情况下，下部台阶</w:t>
            </w:r>
            <w:r>
              <w:rPr>
                <w:rFonts w:hint="eastAsia" w:ascii="仿宋"/>
                <w:b w:val="0"/>
                <w:bCs w:val="0"/>
                <w:color w:val="000000"/>
                <w:spacing w:val="-6"/>
                <w:sz w:val="24"/>
                <w:szCs w:val="24"/>
                <w:lang w:val="en-US" w:eastAsia="zh-CN"/>
              </w:rPr>
              <w:t>进行开采，未遵循自上而下的开采顺序，造成最终帮坡角陡于设计值。</w:t>
            </w:r>
          </w:p>
        </w:tc>
        <w:tc>
          <w:tcPr>
            <w:tcW w:w="1900" w:type="dxa"/>
            <w:tcBorders>
              <w:tl2br w:val="nil"/>
              <w:tr2bl w:val="nil"/>
            </w:tcBorders>
            <w:noWrap/>
            <w:vAlign w:val="center"/>
          </w:tcPr>
          <w:p w14:paraId="685654FF">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清涧县源丰石材有限公司清涧县高杰村镇刘家村建筑用砂岩矿</w:t>
            </w:r>
          </w:p>
        </w:tc>
        <w:tc>
          <w:tcPr>
            <w:tcW w:w="1184" w:type="dxa"/>
            <w:tcBorders>
              <w:tl2br w:val="nil"/>
              <w:tr2bl w:val="nil"/>
            </w:tcBorders>
            <w:noWrap/>
            <w:vAlign w:val="center"/>
          </w:tcPr>
          <w:p w14:paraId="46B48A57">
            <w:pPr>
              <w:widowControl/>
              <w:kinsoku w:val="0"/>
              <w:autoSpaceDE w:val="0"/>
              <w:autoSpaceDN w:val="0"/>
              <w:adjustRightInd/>
              <w:snapToGrid/>
              <w:spacing w:line="300" w:lineRule="exact"/>
              <w:jc w:val="center"/>
              <w:textAlignment w:val="baseline"/>
              <w:rPr>
                <w:rFonts w:hint="eastAsia"/>
                <w:b w:val="0"/>
                <w:bCs w:val="0"/>
                <w:color w:val="000000"/>
                <w:sz w:val="24"/>
                <w:szCs w:val="24"/>
                <w:lang w:eastAsia="zh-CN"/>
              </w:rPr>
            </w:pPr>
            <w:r>
              <w:rPr>
                <w:rFonts w:hint="eastAsia"/>
                <w:b w:val="0"/>
                <w:bCs w:val="0"/>
                <w:color w:val="000000"/>
                <w:sz w:val="24"/>
                <w:szCs w:val="24"/>
                <w:lang w:eastAsia="zh-CN"/>
              </w:rPr>
              <w:t>榆林市</w:t>
            </w:r>
          </w:p>
          <w:p w14:paraId="046A9982">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b w:val="0"/>
                <w:bCs w:val="0"/>
                <w:color w:val="000000"/>
                <w:sz w:val="24"/>
                <w:szCs w:val="24"/>
                <w:lang w:eastAsia="zh-CN"/>
              </w:rPr>
              <w:t>人民政府</w:t>
            </w:r>
          </w:p>
        </w:tc>
        <w:tc>
          <w:tcPr>
            <w:tcW w:w="1650" w:type="dxa"/>
            <w:tcBorders>
              <w:tl2br w:val="nil"/>
              <w:tr2bl w:val="nil"/>
            </w:tcBorders>
            <w:noWrap/>
            <w:vAlign w:val="center"/>
          </w:tcPr>
          <w:p w14:paraId="7CBAD940">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省应急管理厅</w:t>
            </w:r>
          </w:p>
        </w:tc>
        <w:tc>
          <w:tcPr>
            <w:tcW w:w="1415" w:type="dxa"/>
            <w:tcBorders>
              <w:tl2br w:val="nil"/>
              <w:tr2bl w:val="nil"/>
            </w:tcBorders>
            <w:noWrap/>
            <w:vAlign w:val="center"/>
          </w:tcPr>
          <w:p w14:paraId="22863043">
            <w:pPr>
              <w:spacing w:line="300" w:lineRule="exact"/>
              <w:jc w:val="center"/>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2025年9月30日</w:t>
            </w:r>
          </w:p>
        </w:tc>
        <w:tc>
          <w:tcPr>
            <w:tcW w:w="1140" w:type="dxa"/>
            <w:tcBorders>
              <w:tl2br w:val="nil"/>
              <w:tr2bl w:val="nil"/>
            </w:tcBorders>
            <w:noWrap/>
            <w:vAlign w:val="center"/>
          </w:tcPr>
          <w:p w14:paraId="77EEF0B1">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同意</w:t>
            </w:r>
          </w:p>
          <w:p w14:paraId="3BBF4272">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销号</w:t>
            </w:r>
          </w:p>
        </w:tc>
      </w:tr>
      <w:tr w14:paraId="5F70CAFE">
        <w:trPr>
          <w:trHeight w:val="2353" w:hRule="atLeast"/>
          <w:jc w:val="center"/>
        </w:trPr>
        <w:tc>
          <w:tcPr>
            <w:tcW w:w="840" w:type="dxa"/>
            <w:tcBorders>
              <w:tl2br w:val="nil"/>
              <w:tr2bl w:val="nil"/>
            </w:tcBorders>
            <w:noWrap/>
            <w:vAlign w:val="center"/>
          </w:tcPr>
          <w:p w14:paraId="48CE6278">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5</w:t>
            </w:r>
          </w:p>
        </w:tc>
        <w:tc>
          <w:tcPr>
            <w:tcW w:w="2592" w:type="dxa"/>
            <w:tcBorders>
              <w:tl2br w:val="nil"/>
              <w:tr2bl w:val="nil"/>
            </w:tcBorders>
            <w:noWrap/>
            <w:vAlign w:val="center"/>
          </w:tcPr>
          <w:p w14:paraId="4881D75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清涧县源丰石材有限公司清涧县高杰村镇刘家村建筑用砂岩矿安全平台和清扫平台的宽度劣于设计要求安全隐患</w:t>
            </w:r>
          </w:p>
        </w:tc>
        <w:tc>
          <w:tcPr>
            <w:tcW w:w="736" w:type="dxa"/>
            <w:tcBorders>
              <w:tl2br w:val="nil"/>
              <w:tr2bl w:val="nil"/>
            </w:tcBorders>
            <w:noWrap/>
            <w:vAlign w:val="center"/>
          </w:tcPr>
          <w:p w14:paraId="0EB82094">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非煤</w:t>
            </w:r>
          </w:p>
          <w:p w14:paraId="257C5B0A">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lang w:val="en-US" w:eastAsia="zh-CN"/>
              </w:rPr>
            </w:pPr>
            <w:r>
              <w:rPr>
                <w:rFonts w:hint="eastAsia" w:ascii="仿宋"/>
                <w:b w:val="0"/>
                <w:bCs w:val="0"/>
                <w:color w:val="000000"/>
                <w:sz w:val="24"/>
                <w:szCs w:val="24"/>
                <w:lang w:val="en-US" w:eastAsia="zh-CN"/>
              </w:rPr>
              <w:t>矿山</w:t>
            </w:r>
          </w:p>
        </w:tc>
        <w:tc>
          <w:tcPr>
            <w:tcW w:w="3488" w:type="dxa"/>
            <w:tcBorders>
              <w:tl2br w:val="nil"/>
              <w:tr2bl w:val="nil"/>
            </w:tcBorders>
            <w:noWrap/>
            <w:vAlign w:val="center"/>
          </w:tcPr>
          <w:p w14:paraId="28984456">
            <w:pPr>
              <w:widowControl/>
              <w:kinsoku w:val="0"/>
              <w:autoSpaceDE w:val="0"/>
              <w:autoSpaceDN w:val="0"/>
              <w:adjustRightInd/>
              <w:snapToGrid/>
              <w:spacing w:line="300" w:lineRule="exact"/>
              <w:jc w:val="both"/>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矿山当前安全生产许可证范围内的露天采场未按设计设置安全平台和清扫平台。安全平台和清扫平台的宽度劣于设计要求。</w:t>
            </w:r>
          </w:p>
        </w:tc>
        <w:tc>
          <w:tcPr>
            <w:tcW w:w="1900" w:type="dxa"/>
            <w:tcBorders>
              <w:tl2br w:val="nil"/>
              <w:tr2bl w:val="nil"/>
            </w:tcBorders>
            <w:noWrap/>
            <w:vAlign w:val="center"/>
          </w:tcPr>
          <w:p w14:paraId="0EA5D078">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清涧县源丰石材有限公司清涧县高杰村镇刘家村建筑用砂岩矿</w:t>
            </w:r>
          </w:p>
        </w:tc>
        <w:tc>
          <w:tcPr>
            <w:tcW w:w="1184" w:type="dxa"/>
            <w:tcBorders>
              <w:tl2br w:val="nil"/>
              <w:tr2bl w:val="nil"/>
            </w:tcBorders>
            <w:noWrap/>
            <w:vAlign w:val="center"/>
          </w:tcPr>
          <w:p w14:paraId="0EF07E81">
            <w:pPr>
              <w:widowControl/>
              <w:kinsoku w:val="0"/>
              <w:autoSpaceDE w:val="0"/>
              <w:autoSpaceDN w:val="0"/>
              <w:adjustRightInd/>
              <w:snapToGrid/>
              <w:spacing w:line="300" w:lineRule="exact"/>
              <w:jc w:val="center"/>
              <w:textAlignment w:val="baseline"/>
              <w:rPr>
                <w:rFonts w:hint="eastAsia"/>
                <w:b w:val="0"/>
                <w:bCs w:val="0"/>
                <w:color w:val="000000"/>
                <w:sz w:val="24"/>
                <w:szCs w:val="24"/>
                <w:lang w:eastAsia="zh-CN"/>
              </w:rPr>
            </w:pPr>
            <w:r>
              <w:rPr>
                <w:rFonts w:hint="eastAsia"/>
                <w:b w:val="0"/>
                <w:bCs w:val="0"/>
                <w:color w:val="000000"/>
                <w:sz w:val="24"/>
                <w:szCs w:val="24"/>
                <w:lang w:eastAsia="zh-CN"/>
              </w:rPr>
              <w:t>榆林市</w:t>
            </w:r>
          </w:p>
          <w:p w14:paraId="7DCF0051">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b w:val="0"/>
                <w:bCs w:val="0"/>
                <w:color w:val="000000"/>
                <w:sz w:val="24"/>
                <w:szCs w:val="24"/>
                <w:lang w:eastAsia="zh-CN"/>
              </w:rPr>
              <w:t>人民政府</w:t>
            </w:r>
          </w:p>
        </w:tc>
        <w:tc>
          <w:tcPr>
            <w:tcW w:w="1650" w:type="dxa"/>
            <w:tcBorders>
              <w:tl2br w:val="nil"/>
              <w:tr2bl w:val="nil"/>
            </w:tcBorders>
            <w:noWrap/>
            <w:vAlign w:val="center"/>
          </w:tcPr>
          <w:p w14:paraId="3CBA9238">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省应急管理厅</w:t>
            </w:r>
          </w:p>
        </w:tc>
        <w:tc>
          <w:tcPr>
            <w:tcW w:w="1415" w:type="dxa"/>
            <w:tcBorders>
              <w:tl2br w:val="nil"/>
              <w:tr2bl w:val="nil"/>
            </w:tcBorders>
            <w:noWrap/>
            <w:vAlign w:val="center"/>
          </w:tcPr>
          <w:p w14:paraId="41E30F8D">
            <w:pPr>
              <w:spacing w:line="300" w:lineRule="exact"/>
              <w:jc w:val="center"/>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2025年9月30日</w:t>
            </w:r>
          </w:p>
        </w:tc>
        <w:tc>
          <w:tcPr>
            <w:tcW w:w="1140" w:type="dxa"/>
            <w:tcBorders>
              <w:tl2br w:val="nil"/>
              <w:tr2bl w:val="nil"/>
            </w:tcBorders>
            <w:noWrap/>
            <w:vAlign w:val="center"/>
          </w:tcPr>
          <w:p w14:paraId="78F761D4">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同意</w:t>
            </w:r>
          </w:p>
          <w:p w14:paraId="7CE29DE1">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销号</w:t>
            </w:r>
          </w:p>
        </w:tc>
      </w:tr>
      <w:tr w14:paraId="3986FBE4">
        <w:trPr>
          <w:trHeight w:val="2352" w:hRule="atLeast"/>
          <w:jc w:val="center"/>
        </w:trPr>
        <w:tc>
          <w:tcPr>
            <w:tcW w:w="840" w:type="dxa"/>
            <w:tcBorders>
              <w:tl2br w:val="nil"/>
              <w:tr2bl w:val="nil"/>
            </w:tcBorders>
            <w:noWrap/>
            <w:vAlign w:val="center"/>
          </w:tcPr>
          <w:p w14:paraId="1B7A0920">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6</w:t>
            </w:r>
          </w:p>
        </w:tc>
        <w:tc>
          <w:tcPr>
            <w:tcW w:w="2592" w:type="dxa"/>
            <w:tcBorders>
              <w:tl2br w:val="nil"/>
              <w:tr2bl w:val="nil"/>
            </w:tcBorders>
            <w:noWrap/>
            <w:vAlign w:val="center"/>
          </w:tcPr>
          <w:p w14:paraId="375EE71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清涧县源丰石材有限公司清涧县高杰村镇刘家村建筑用砂岩矿露天采场工作帮坡角陡于设计值安全隐患</w:t>
            </w:r>
          </w:p>
        </w:tc>
        <w:tc>
          <w:tcPr>
            <w:tcW w:w="736" w:type="dxa"/>
            <w:tcBorders>
              <w:tl2br w:val="nil"/>
              <w:tr2bl w:val="nil"/>
            </w:tcBorders>
            <w:noWrap/>
            <w:vAlign w:val="center"/>
          </w:tcPr>
          <w:p w14:paraId="18A346F0">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非煤</w:t>
            </w:r>
          </w:p>
          <w:p w14:paraId="3AF77223">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lang w:val="en-US" w:eastAsia="zh-CN"/>
              </w:rPr>
            </w:pPr>
            <w:r>
              <w:rPr>
                <w:rFonts w:hint="eastAsia" w:ascii="仿宋"/>
                <w:b w:val="0"/>
                <w:bCs w:val="0"/>
                <w:color w:val="000000"/>
                <w:sz w:val="24"/>
                <w:szCs w:val="24"/>
                <w:lang w:val="en-US" w:eastAsia="zh-CN"/>
              </w:rPr>
              <w:t>矿山</w:t>
            </w:r>
          </w:p>
        </w:tc>
        <w:tc>
          <w:tcPr>
            <w:tcW w:w="3488" w:type="dxa"/>
            <w:tcBorders>
              <w:tl2br w:val="nil"/>
              <w:tr2bl w:val="nil"/>
            </w:tcBorders>
            <w:noWrap/>
            <w:vAlign w:val="center"/>
          </w:tcPr>
          <w:p w14:paraId="2880AB05">
            <w:pPr>
              <w:widowControl/>
              <w:kinsoku w:val="0"/>
              <w:autoSpaceDE w:val="0"/>
              <w:autoSpaceDN w:val="0"/>
              <w:adjustRightInd/>
              <w:snapToGrid/>
              <w:spacing w:line="300" w:lineRule="exact"/>
              <w:jc w:val="both"/>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矿山当前安全生产许可证范围内的露天采场工作帮坡角陡于设计值。目前露天采场形成3</w:t>
            </w:r>
            <w:bookmarkStart w:id="0" w:name="hmcheck_cd06f0d1816841a7bacb506c016283b3"/>
            <w:r>
              <w:rPr>
                <w:rFonts w:hint="eastAsia" w:ascii="仿宋"/>
                <w:b w:val="0"/>
                <w:bCs w:val="0"/>
                <w:color w:val="000000"/>
                <w:sz w:val="24"/>
                <w:szCs w:val="24"/>
                <w:shd w:val="clear" w:color="auto" w:fill="FFFFFF"/>
                <w:lang w:val="en-US" w:eastAsia="zh-CN"/>
              </w:rPr>
              <w:t>个</w:t>
            </w:r>
            <w:bookmarkEnd w:id="0"/>
            <w:r>
              <w:rPr>
                <w:rFonts w:hint="eastAsia" w:ascii="仿宋"/>
                <w:b w:val="0"/>
                <w:bCs w:val="0"/>
                <w:color w:val="000000"/>
                <w:sz w:val="24"/>
                <w:szCs w:val="24"/>
                <w:lang w:val="en-US" w:eastAsia="zh-CN"/>
              </w:rPr>
              <w:t>台阶，台阶宽度低于设计要求，台阶高度高于设计值，台阶坡面角均大于设计值，造成工作帮坡角陡于设计值。</w:t>
            </w:r>
          </w:p>
        </w:tc>
        <w:tc>
          <w:tcPr>
            <w:tcW w:w="1900" w:type="dxa"/>
            <w:tcBorders>
              <w:tl2br w:val="nil"/>
              <w:tr2bl w:val="nil"/>
            </w:tcBorders>
            <w:noWrap/>
            <w:vAlign w:val="center"/>
          </w:tcPr>
          <w:p w14:paraId="3BACE8B6">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清涧县源丰石材有限公司清涧县高杰村镇刘家村建筑用砂岩矿</w:t>
            </w:r>
          </w:p>
        </w:tc>
        <w:tc>
          <w:tcPr>
            <w:tcW w:w="1184" w:type="dxa"/>
            <w:tcBorders>
              <w:tl2br w:val="nil"/>
              <w:tr2bl w:val="nil"/>
            </w:tcBorders>
            <w:noWrap/>
            <w:vAlign w:val="center"/>
          </w:tcPr>
          <w:p w14:paraId="20E7F63E">
            <w:pPr>
              <w:widowControl/>
              <w:kinsoku w:val="0"/>
              <w:autoSpaceDE w:val="0"/>
              <w:autoSpaceDN w:val="0"/>
              <w:adjustRightInd/>
              <w:snapToGrid/>
              <w:spacing w:line="300" w:lineRule="exact"/>
              <w:jc w:val="center"/>
              <w:textAlignment w:val="baseline"/>
              <w:rPr>
                <w:rFonts w:hint="eastAsia"/>
                <w:b w:val="0"/>
                <w:bCs w:val="0"/>
                <w:color w:val="000000"/>
                <w:sz w:val="24"/>
                <w:szCs w:val="24"/>
                <w:lang w:eastAsia="zh-CN"/>
              </w:rPr>
            </w:pPr>
            <w:r>
              <w:rPr>
                <w:rFonts w:hint="eastAsia"/>
                <w:b w:val="0"/>
                <w:bCs w:val="0"/>
                <w:color w:val="000000"/>
                <w:sz w:val="24"/>
                <w:szCs w:val="24"/>
                <w:lang w:eastAsia="zh-CN"/>
              </w:rPr>
              <w:t>榆林市</w:t>
            </w:r>
          </w:p>
          <w:p w14:paraId="41CB58F8">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b w:val="0"/>
                <w:bCs w:val="0"/>
                <w:color w:val="000000"/>
                <w:sz w:val="24"/>
                <w:szCs w:val="24"/>
                <w:lang w:eastAsia="zh-CN"/>
              </w:rPr>
              <w:t>人民政府</w:t>
            </w:r>
          </w:p>
        </w:tc>
        <w:tc>
          <w:tcPr>
            <w:tcW w:w="1650" w:type="dxa"/>
            <w:tcBorders>
              <w:tl2br w:val="nil"/>
              <w:tr2bl w:val="nil"/>
            </w:tcBorders>
            <w:noWrap/>
            <w:vAlign w:val="center"/>
          </w:tcPr>
          <w:p w14:paraId="13B7B28B">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省应急管理厅</w:t>
            </w:r>
          </w:p>
        </w:tc>
        <w:tc>
          <w:tcPr>
            <w:tcW w:w="1415" w:type="dxa"/>
            <w:tcBorders>
              <w:tl2br w:val="nil"/>
              <w:tr2bl w:val="nil"/>
            </w:tcBorders>
            <w:noWrap/>
            <w:vAlign w:val="center"/>
          </w:tcPr>
          <w:p w14:paraId="3D0DED2C">
            <w:pPr>
              <w:spacing w:line="300" w:lineRule="exact"/>
              <w:jc w:val="center"/>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2025年9月30日</w:t>
            </w:r>
          </w:p>
        </w:tc>
        <w:tc>
          <w:tcPr>
            <w:tcW w:w="1140" w:type="dxa"/>
            <w:tcBorders>
              <w:tl2br w:val="nil"/>
              <w:tr2bl w:val="nil"/>
            </w:tcBorders>
            <w:noWrap/>
            <w:vAlign w:val="center"/>
          </w:tcPr>
          <w:p w14:paraId="2A7109D5">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同意</w:t>
            </w:r>
          </w:p>
          <w:p w14:paraId="0C14A4A3">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销号</w:t>
            </w:r>
          </w:p>
        </w:tc>
      </w:tr>
      <w:tr w14:paraId="6C5EDAE9">
        <w:trPr>
          <w:trHeight w:val="1544" w:hRule="atLeast"/>
          <w:jc w:val="center"/>
        </w:trPr>
        <w:tc>
          <w:tcPr>
            <w:tcW w:w="840" w:type="dxa"/>
            <w:tcBorders>
              <w:tl2br w:val="nil"/>
              <w:tr2bl w:val="nil"/>
            </w:tcBorders>
            <w:noWrap/>
            <w:vAlign w:val="center"/>
          </w:tcPr>
          <w:p w14:paraId="04551046">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7</w:t>
            </w:r>
          </w:p>
        </w:tc>
        <w:tc>
          <w:tcPr>
            <w:tcW w:w="2592" w:type="dxa"/>
            <w:tcBorders>
              <w:tl2br w:val="nil"/>
              <w:tr2bl w:val="nil"/>
            </w:tcBorders>
            <w:noWrap/>
            <w:vAlign w:val="center"/>
          </w:tcPr>
          <w:p w14:paraId="26FACC3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清涧县鑫磊石业有限</w:t>
            </w:r>
          </w:p>
          <w:p w14:paraId="4D81C2A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公司运输道路坡度大于设计坡度安全隐患</w:t>
            </w:r>
          </w:p>
        </w:tc>
        <w:tc>
          <w:tcPr>
            <w:tcW w:w="736" w:type="dxa"/>
            <w:tcBorders>
              <w:tl2br w:val="nil"/>
              <w:tr2bl w:val="nil"/>
            </w:tcBorders>
            <w:noWrap/>
            <w:vAlign w:val="center"/>
          </w:tcPr>
          <w:p w14:paraId="5E7A0B2F">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非煤</w:t>
            </w:r>
          </w:p>
          <w:p w14:paraId="5F45179C">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lang w:val="en-US" w:eastAsia="zh-CN"/>
              </w:rPr>
            </w:pPr>
            <w:r>
              <w:rPr>
                <w:rFonts w:hint="eastAsia" w:ascii="仿宋"/>
                <w:b w:val="0"/>
                <w:bCs w:val="0"/>
                <w:color w:val="000000"/>
                <w:sz w:val="24"/>
                <w:szCs w:val="24"/>
                <w:lang w:val="en-US" w:eastAsia="zh-CN"/>
              </w:rPr>
              <w:t>矿山</w:t>
            </w:r>
          </w:p>
        </w:tc>
        <w:tc>
          <w:tcPr>
            <w:tcW w:w="3488" w:type="dxa"/>
            <w:tcBorders>
              <w:tl2br w:val="nil"/>
              <w:tr2bl w:val="nil"/>
            </w:tcBorders>
            <w:noWrap/>
            <w:vAlign w:val="center"/>
          </w:tcPr>
          <w:p w14:paraId="0FBAECF9">
            <w:pPr>
              <w:widowControl/>
              <w:kinsoku w:val="0"/>
              <w:autoSpaceDE w:val="0"/>
              <w:autoSpaceDN w:val="0"/>
              <w:adjustRightInd/>
              <w:snapToGrid/>
              <w:spacing w:line="300" w:lineRule="exact"/>
              <w:jc w:val="both"/>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露天采场内通往采场顶部的运输道路坡度大于设计坡度10%以上。</w:t>
            </w:r>
          </w:p>
        </w:tc>
        <w:tc>
          <w:tcPr>
            <w:tcW w:w="1900" w:type="dxa"/>
            <w:tcBorders>
              <w:tl2br w:val="nil"/>
              <w:tr2bl w:val="nil"/>
            </w:tcBorders>
            <w:noWrap/>
            <w:vAlign w:val="center"/>
          </w:tcPr>
          <w:p w14:paraId="2705A9BE">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清涧县鑫磊石业有限公司</w:t>
            </w:r>
          </w:p>
        </w:tc>
        <w:tc>
          <w:tcPr>
            <w:tcW w:w="1184" w:type="dxa"/>
            <w:tcBorders>
              <w:tl2br w:val="nil"/>
              <w:tr2bl w:val="nil"/>
            </w:tcBorders>
            <w:noWrap/>
            <w:vAlign w:val="center"/>
          </w:tcPr>
          <w:p w14:paraId="33F3E26B">
            <w:pPr>
              <w:widowControl/>
              <w:kinsoku w:val="0"/>
              <w:autoSpaceDE w:val="0"/>
              <w:autoSpaceDN w:val="0"/>
              <w:adjustRightInd/>
              <w:snapToGrid/>
              <w:spacing w:line="300" w:lineRule="exact"/>
              <w:jc w:val="center"/>
              <w:textAlignment w:val="baseline"/>
              <w:rPr>
                <w:rFonts w:hint="eastAsia"/>
                <w:b w:val="0"/>
                <w:bCs w:val="0"/>
                <w:color w:val="000000"/>
                <w:sz w:val="24"/>
                <w:szCs w:val="24"/>
                <w:lang w:eastAsia="zh-CN"/>
              </w:rPr>
            </w:pPr>
            <w:r>
              <w:rPr>
                <w:rFonts w:hint="eastAsia"/>
                <w:b w:val="0"/>
                <w:bCs w:val="0"/>
                <w:color w:val="000000"/>
                <w:sz w:val="24"/>
                <w:szCs w:val="24"/>
                <w:lang w:eastAsia="zh-CN"/>
              </w:rPr>
              <w:t>榆林市</w:t>
            </w:r>
          </w:p>
          <w:p w14:paraId="755F53EA">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b w:val="0"/>
                <w:bCs w:val="0"/>
                <w:color w:val="000000"/>
                <w:sz w:val="24"/>
                <w:szCs w:val="24"/>
                <w:lang w:eastAsia="zh-CN"/>
              </w:rPr>
              <w:t>人民政府</w:t>
            </w:r>
          </w:p>
        </w:tc>
        <w:tc>
          <w:tcPr>
            <w:tcW w:w="1650" w:type="dxa"/>
            <w:tcBorders>
              <w:tl2br w:val="nil"/>
              <w:tr2bl w:val="nil"/>
            </w:tcBorders>
            <w:noWrap/>
            <w:vAlign w:val="center"/>
          </w:tcPr>
          <w:p w14:paraId="5D971F4C">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省应急管理厅</w:t>
            </w:r>
          </w:p>
        </w:tc>
        <w:tc>
          <w:tcPr>
            <w:tcW w:w="1415" w:type="dxa"/>
            <w:tcBorders>
              <w:tl2br w:val="nil"/>
              <w:tr2bl w:val="nil"/>
            </w:tcBorders>
            <w:noWrap/>
            <w:vAlign w:val="center"/>
          </w:tcPr>
          <w:p w14:paraId="6D73131D">
            <w:pPr>
              <w:spacing w:line="300" w:lineRule="exact"/>
              <w:jc w:val="center"/>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2025年9月30日</w:t>
            </w:r>
          </w:p>
        </w:tc>
        <w:tc>
          <w:tcPr>
            <w:tcW w:w="1140" w:type="dxa"/>
            <w:tcBorders>
              <w:tl2br w:val="nil"/>
              <w:tr2bl w:val="nil"/>
            </w:tcBorders>
            <w:noWrap/>
            <w:vAlign w:val="center"/>
          </w:tcPr>
          <w:p w14:paraId="37C5960A">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同意</w:t>
            </w:r>
          </w:p>
          <w:p w14:paraId="65C7F287">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销号</w:t>
            </w:r>
          </w:p>
        </w:tc>
      </w:tr>
      <w:tr w14:paraId="6F9C68DA">
        <w:trPr>
          <w:trHeight w:val="1131" w:hRule="atLeast"/>
          <w:jc w:val="center"/>
        </w:trPr>
        <w:tc>
          <w:tcPr>
            <w:tcW w:w="840" w:type="dxa"/>
            <w:tcBorders>
              <w:tl2br w:val="nil"/>
              <w:tr2bl w:val="nil"/>
            </w:tcBorders>
            <w:noWrap/>
            <w:vAlign w:val="center"/>
          </w:tcPr>
          <w:p w14:paraId="26D386D8">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8</w:t>
            </w:r>
          </w:p>
        </w:tc>
        <w:tc>
          <w:tcPr>
            <w:tcW w:w="2592" w:type="dxa"/>
            <w:tcBorders>
              <w:tl2br w:val="nil"/>
              <w:tr2bl w:val="nil"/>
            </w:tcBorders>
            <w:noWrap/>
            <w:vAlign w:val="center"/>
          </w:tcPr>
          <w:p w14:paraId="1091612A">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神木市石山壕砂石矿运输道路坡度大于设计值安全隐患</w:t>
            </w:r>
          </w:p>
        </w:tc>
        <w:tc>
          <w:tcPr>
            <w:tcW w:w="736" w:type="dxa"/>
            <w:tcBorders>
              <w:tl2br w:val="nil"/>
              <w:tr2bl w:val="nil"/>
            </w:tcBorders>
            <w:noWrap/>
            <w:vAlign w:val="center"/>
          </w:tcPr>
          <w:p w14:paraId="16F1B919">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非煤</w:t>
            </w:r>
          </w:p>
          <w:p w14:paraId="3E4CCD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cs="仿宋"/>
                <w:i w:val="0"/>
                <w:color w:val="000000"/>
                <w:kern w:val="0"/>
                <w:sz w:val="24"/>
                <w:szCs w:val="24"/>
                <w:highlight w:val="none"/>
                <w:u w:val="none"/>
                <w:lang w:val="en-US" w:eastAsia="zh-CN"/>
              </w:rPr>
            </w:pPr>
            <w:r>
              <w:rPr>
                <w:rFonts w:hint="eastAsia" w:ascii="仿宋"/>
                <w:b w:val="0"/>
                <w:bCs w:val="0"/>
                <w:color w:val="000000"/>
                <w:sz w:val="24"/>
                <w:szCs w:val="24"/>
                <w:lang w:val="en-US" w:eastAsia="zh-CN"/>
              </w:rPr>
              <w:t>矿山</w:t>
            </w:r>
          </w:p>
        </w:tc>
        <w:tc>
          <w:tcPr>
            <w:tcW w:w="3488" w:type="dxa"/>
            <w:tcBorders>
              <w:tl2br w:val="nil"/>
              <w:tr2bl w:val="nil"/>
            </w:tcBorders>
            <w:noWrap/>
            <w:vAlign w:val="center"/>
          </w:tcPr>
          <w:p w14:paraId="17C98F04">
            <w:pPr>
              <w:widowControl/>
              <w:kinsoku w:val="0"/>
              <w:autoSpaceDE w:val="0"/>
              <w:autoSpaceDN w:val="0"/>
              <w:adjustRightInd/>
              <w:snapToGrid/>
              <w:spacing w:line="300" w:lineRule="exact"/>
              <w:jc w:val="both"/>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矿山采场内运输道路坡度大于设计值10%以上。</w:t>
            </w:r>
          </w:p>
        </w:tc>
        <w:tc>
          <w:tcPr>
            <w:tcW w:w="1900" w:type="dxa"/>
            <w:tcBorders>
              <w:tl2br w:val="nil"/>
              <w:tr2bl w:val="nil"/>
            </w:tcBorders>
            <w:noWrap/>
            <w:vAlign w:val="center"/>
          </w:tcPr>
          <w:p w14:paraId="00AC67AD">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神木市石山壕</w:t>
            </w:r>
          </w:p>
          <w:p w14:paraId="601858C4">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砂石矿</w:t>
            </w:r>
          </w:p>
        </w:tc>
        <w:tc>
          <w:tcPr>
            <w:tcW w:w="1184" w:type="dxa"/>
            <w:tcBorders>
              <w:tl2br w:val="nil"/>
              <w:tr2bl w:val="nil"/>
            </w:tcBorders>
            <w:noWrap/>
            <w:vAlign w:val="center"/>
          </w:tcPr>
          <w:p w14:paraId="6AE2849F">
            <w:pPr>
              <w:widowControl/>
              <w:kinsoku w:val="0"/>
              <w:autoSpaceDE w:val="0"/>
              <w:autoSpaceDN w:val="0"/>
              <w:adjustRightInd/>
              <w:snapToGrid/>
              <w:spacing w:line="300" w:lineRule="exact"/>
              <w:jc w:val="center"/>
              <w:textAlignment w:val="baseline"/>
              <w:rPr>
                <w:rFonts w:hint="eastAsia"/>
                <w:b w:val="0"/>
                <w:bCs w:val="0"/>
                <w:color w:val="000000"/>
                <w:sz w:val="24"/>
                <w:szCs w:val="24"/>
                <w:lang w:eastAsia="zh-CN"/>
              </w:rPr>
            </w:pPr>
            <w:r>
              <w:rPr>
                <w:rFonts w:hint="eastAsia"/>
                <w:b w:val="0"/>
                <w:bCs w:val="0"/>
                <w:color w:val="000000"/>
                <w:sz w:val="24"/>
                <w:szCs w:val="24"/>
                <w:lang w:eastAsia="zh-CN"/>
              </w:rPr>
              <w:t>榆林市</w:t>
            </w:r>
          </w:p>
          <w:p w14:paraId="3DD5B619">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b w:val="0"/>
                <w:bCs w:val="0"/>
                <w:color w:val="000000"/>
                <w:sz w:val="24"/>
                <w:szCs w:val="24"/>
                <w:lang w:eastAsia="zh-CN"/>
              </w:rPr>
              <w:t>人民政府</w:t>
            </w:r>
          </w:p>
        </w:tc>
        <w:tc>
          <w:tcPr>
            <w:tcW w:w="1650" w:type="dxa"/>
            <w:tcBorders>
              <w:tl2br w:val="nil"/>
              <w:tr2bl w:val="nil"/>
            </w:tcBorders>
            <w:noWrap/>
            <w:vAlign w:val="center"/>
          </w:tcPr>
          <w:p w14:paraId="0966EBCE">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省应急管理厅</w:t>
            </w:r>
          </w:p>
        </w:tc>
        <w:tc>
          <w:tcPr>
            <w:tcW w:w="1415" w:type="dxa"/>
            <w:tcBorders>
              <w:tl2br w:val="nil"/>
              <w:tr2bl w:val="nil"/>
            </w:tcBorders>
            <w:noWrap/>
            <w:vAlign w:val="center"/>
          </w:tcPr>
          <w:p w14:paraId="449EC3FF">
            <w:pPr>
              <w:spacing w:line="300" w:lineRule="exact"/>
              <w:jc w:val="center"/>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2025年5月10日</w:t>
            </w:r>
          </w:p>
        </w:tc>
        <w:tc>
          <w:tcPr>
            <w:tcW w:w="1140" w:type="dxa"/>
            <w:tcBorders>
              <w:tl2br w:val="nil"/>
              <w:tr2bl w:val="nil"/>
            </w:tcBorders>
            <w:noWrap/>
            <w:vAlign w:val="center"/>
          </w:tcPr>
          <w:p w14:paraId="2D7B5D40">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同意</w:t>
            </w:r>
          </w:p>
          <w:p w14:paraId="26ED7B6A">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销号</w:t>
            </w:r>
          </w:p>
        </w:tc>
      </w:tr>
      <w:tr w14:paraId="4824AE78">
        <w:trPr>
          <w:trHeight w:val="1294" w:hRule="atLeast"/>
          <w:jc w:val="center"/>
        </w:trPr>
        <w:tc>
          <w:tcPr>
            <w:tcW w:w="840" w:type="dxa"/>
            <w:tcBorders>
              <w:tl2br w:val="nil"/>
              <w:tr2bl w:val="nil"/>
            </w:tcBorders>
            <w:noWrap/>
            <w:vAlign w:val="center"/>
          </w:tcPr>
          <w:p w14:paraId="2709D683">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9</w:t>
            </w:r>
          </w:p>
        </w:tc>
        <w:tc>
          <w:tcPr>
            <w:tcW w:w="2592" w:type="dxa"/>
            <w:tcBorders>
              <w:tl2br w:val="nil"/>
              <w:tr2bl w:val="nil"/>
            </w:tcBorders>
            <w:noWrap/>
            <w:vAlign w:val="center"/>
          </w:tcPr>
          <w:p w14:paraId="68E5E8DF">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神木市石山壕砂石矿安全平台宽度劣于设计要求安全隐患</w:t>
            </w:r>
          </w:p>
        </w:tc>
        <w:tc>
          <w:tcPr>
            <w:tcW w:w="736" w:type="dxa"/>
            <w:tcBorders>
              <w:tl2br w:val="nil"/>
              <w:tr2bl w:val="nil"/>
            </w:tcBorders>
            <w:noWrap/>
            <w:vAlign w:val="center"/>
          </w:tcPr>
          <w:p w14:paraId="5A75222A">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非煤</w:t>
            </w:r>
          </w:p>
          <w:p w14:paraId="46FB3F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cs="仿宋"/>
                <w:i w:val="0"/>
                <w:color w:val="000000"/>
                <w:kern w:val="0"/>
                <w:sz w:val="24"/>
                <w:szCs w:val="24"/>
                <w:highlight w:val="none"/>
                <w:u w:val="none"/>
                <w:lang w:val="en-US" w:eastAsia="zh-CN"/>
              </w:rPr>
            </w:pPr>
            <w:r>
              <w:rPr>
                <w:rFonts w:hint="eastAsia" w:ascii="仿宋"/>
                <w:b w:val="0"/>
                <w:bCs w:val="0"/>
                <w:color w:val="000000"/>
                <w:sz w:val="24"/>
                <w:szCs w:val="24"/>
                <w:lang w:val="en-US" w:eastAsia="zh-CN"/>
              </w:rPr>
              <w:t>矿山</w:t>
            </w:r>
          </w:p>
        </w:tc>
        <w:tc>
          <w:tcPr>
            <w:tcW w:w="3488" w:type="dxa"/>
            <w:tcBorders>
              <w:tl2br w:val="nil"/>
              <w:tr2bl w:val="nil"/>
            </w:tcBorders>
            <w:noWrap/>
            <w:vAlign w:val="center"/>
          </w:tcPr>
          <w:p w14:paraId="4C638F5C">
            <w:pPr>
              <w:widowControl/>
              <w:kinsoku w:val="0"/>
              <w:autoSpaceDE w:val="0"/>
              <w:autoSpaceDN w:val="0"/>
              <w:adjustRightInd/>
              <w:snapToGrid/>
              <w:spacing w:line="300" w:lineRule="exact"/>
              <w:jc w:val="both"/>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采场已经形成的最终边坡留设的安全平台宽度劣于设计要求。</w:t>
            </w:r>
          </w:p>
        </w:tc>
        <w:tc>
          <w:tcPr>
            <w:tcW w:w="1900" w:type="dxa"/>
            <w:tcBorders>
              <w:tl2br w:val="nil"/>
              <w:tr2bl w:val="nil"/>
            </w:tcBorders>
            <w:noWrap/>
            <w:vAlign w:val="center"/>
          </w:tcPr>
          <w:p w14:paraId="0D46D13E">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神木市石山壕</w:t>
            </w:r>
          </w:p>
          <w:p w14:paraId="12F7B03C">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砂石矿</w:t>
            </w:r>
          </w:p>
        </w:tc>
        <w:tc>
          <w:tcPr>
            <w:tcW w:w="1184" w:type="dxa"/>
            <w:tcBorders>
              <w:tl2br w:val="nil"/>
              <w:tr2bl w:val="nil"/>
            </w:tcBorders>
            <w:noWrap/>
            <w:vAlign w:val="center"/>
          </w:tcPr>
          <w:p w14:paraId="04DC1F0F">
            <w:pPr>
              <w:widowControl/>
              <w:kinsoku w:val="0"/>
              <w:autoSpaceDE w:val="0"/>
              <w:autoSpaceDN w:val="0"/>
              <w:adjustRightInd/>
              <w:snapToGrid/>
              <w:spacing w:line="300" w:lineRule="exact"/>
              <w:jc w:val="center"/>
              <w:textAlignment w:val="baseline"/>
              <w:rPr>
                <w:rFonts w:hint="eastAsia"/>
                <w:b w:val="0"/>
                <w:bCs w:val="0"/>
                <w:color w:val="000000"/>
                <w:sz w:val="24"/>
                <w:szCs w:val="24"/>
                <w:lang w:eastAsia="zh-CN"/>
              </w:rPr>
            </w:pPr>
            <w:r>
              <w:rPr>
                <w:rFonts w:hint="eastAsia"/>
                <w:b w:val="0"/>
                <w:bCs w:val="0"/>
                <w:color w:val="000000"/>
                <w:sz w:val="24"/>
                <w:szCs w:val="24"/>
                <w:lang w:eastAsia="zh-CN"/>
              </w:rPr>
              <w:t>榆林市</w:t>
            </w:r>
          </w:p>
          <w:p w14:paraId="07C11793">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b w:val="0"/>
                <w:bCs w:val="0"/>
                <w:color w:val="000000"/>
                <w:sz w:val="24"/>
                <w:szCs w:val="24"/>
                <w:lang w:eastAsia="zh-CN"/>
              </w:rPr>
              <w:t>人民政府</w:t>
            </w:r>
          </w:p>
        </w:tc>
        <w:tc>
          <w:tcPr>
            <w:tcW w:w="1650" w:type="dxa"/>
            <w:tcBorders>
              <w:tl2br w:val="nil"/>
              <w:tr2bl w:val="nil"/>
            </w:tcBorders>
            <w:noWrap/>
            <w:vAlign w:val="center"/>
          </w:tcPr>
          <w:p w14:paraId="6E4F8B42">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省应急管理厅</w:t>
            </w:r>
          </w:p>
        </w:tc>
        <w:tc>
          <w:tcPr>
            <w:tcW w:w="1415" w:type="dxa"/>
            <w:tcBorders>
              <w:tl2br w:val="nil"/>
              <w:tr2bl w:val="nil"/>
            </w:tcBorders>
            <w:noWrap/>
            <w:vAlign w:val="center"/>
          </w:tcPr>
          <w:p w14:paraId="5686556D">
            <w:pPr>
              <w:spacing w:line="300" w:lineRule="exact"/>
              <w:jc w:val="center"/>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2025年5月10日</w:t>
            </w:r>
          </w:p>
        </w:tc>
        <w:tc>
          <w:tcPr>
            <w:tcW w:w="1140" w:type="dxa"/>
            <w:tcBorders>
              <w:tl2br w:val="nil"/>
              <w:tr2bl w:val="nil"/>
            </w:tcBorders>
            <w:noWrap/>
            <w:vAlign w:val="center"/>
          </w:tcPr>
          <w:p w14:paraId="0E4B2319">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同意</w:t>
            </w:r>
          </w:p>
          <w:p w14:paraId="69F722D3">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销号</w:t>
            </w:r>
          </w:p>
        </w:tc>
      </w:tr>
      <w:tr w14:paraId="5F5CBFFC">
        <w:trPr>
          <w:trHeight w:val="1294" w:hRule="atLeast"/>
          <w:jc w:val="center"/>
        </w:trPr>
        <w:tc>
          <w:tcPr>
            <w:tcW w:w="840" w:type="dxa"/>
            <w:tcBorders>
              <w:tl2br w:val="nil"/>
              <w:tr2bl w:val="nil"/>
            </w:tcBorders>
            <w:noWrap/>
            <w:vAlign w:val="center"/>
          </w:tcPr>
          <w:p w14:paraId="6E1252FC">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4"/>
                <w:szCs w:val="24"/>
                <w:highlight w:val="none"/>
                <w:u w:val="none"/>
                <w:lang w:val="en-US" w:eastAsia="zh-CN"/>
              </w:rPr>
            </w:pPr>
            <w:r>
              <w:rPr>
                <w:rFonts w:hint="eastAsia" w:ascii="仿宋" w:cs="仿宋"/>
                <w:i w:val="0"/>
                <w:color w:val="000000"/>
                <w:kern w:val="0"/>
                <w:sz w:val="24"/>
                <w:szCs w:val="24"/>
                <w:highlight w:val="none"/>
                <w:u w:val="none"/>
                <w:lang w:val="en-US" w:eastAsia="zh-CN"/>
              </w:rPr>
              <w:t>10</w:t>
            </w:r>
          </w:p>
        </w:tc>
        <w:tc>
          <w:tcPr>
            <w:tcW w:w="2592" w:type="dxa"/>
            <w:tcBorders>
              <w:tl2br w:val="nil"/>
              <w:tr2bl w:val="nil"/>
            </w:tcBorders>
            <w:noWrap/>
            <w:vAlign w:val="center"/>
          </w:tcPr>
          <w:p w14:paraId="5BA8A15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eastAsia="仿宋" w:cs="仿宋"/>
                <w:color w:val="000000"/>
                <w:kern w:val="2"/>
                <w:sz w:val="24"/>
                <w:szCs w:val="24"/>
                <w:highlight w:val="none"/>
                <w:lang w:val="en-US" w:eastAsia="zh-CN" w:bidi="ar-SA"/>
              </w:rPr>
            </w:pPr>
            <w:r>
              <w:rPr>
                <w:rFonts w:hint="eastAsia" w:ascii="仿宋"/>
                <w:b w:val="0"/>
                <w:bCs w:val="0"/>
                <w:color w:val="000000"/>
                <w:sz w:val="24"/>
                <w:szCs w:val="24"/>
                <w:lang w:val="en-US" w:eastAsia="zh-CN"/>
              </w:rPr>
              <w:t>榆林市榆阳区夕阳红爱心养老院</w:t>
            </w:r>
            <w:r>
              <w:rPr>
                <w:rFonts w:hint="eastAsia" w:ascii="仿宋"/>
                <w:b w:val="0"/>
                <w:bCs w:val="0"/>
                <w:color w:val="000000"/>
                <w:sz w:val="24"/>
                <w:szCs w:val="24"/>
                <w:highlight w:val="none"/>
                <w:lang w:val="en-US" w:eastAsia="zh-CN"/>
              </w:rPr>
              <w:t>疏散通道上锁安全隐患</w:t>
            </w:r>
          </w:p>
        </w:tc>
        <w:tc>
          <w:tcPr>
            <w:tcW w:w="736" w:type="dxa"/>
            <w:tcBorders>
              <w:tl2br w:val="nil"/>
              <w:tr2bl w:val="nil"/>
            </w:tcBorders>
            <w:noWrap/>
            <w:vAlign w:val="center"/>
          </w:tcPr>
          <w:p w14:paraId="4A42BC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消防</w:t>
            </w:r>
          </w:p>
        </w:tc>
        <w:tc>
          <w:tcPr>
            <w:tcW w:w="3488" w:type="dxa"/>
            <w:tcBorders>
              <w:tl2br w:val="nil"/>
              <w:tr2bl w:val="nil"/>
            </w:tcBorders>
            <w:noWrap/>
            <w:vAlign w:val="center"/>
          </w:tcPr>
          <w:p w14:paraId="6B9FCD94">
            <w:pPr>
              <w:widowControl/>
              <w:kinsoku w:val="0"/>
              <w:autoSpaceDE w:val="0"/>
              <w:autoSpaceDN w:val="0"/>
              <w:adjustRightInd/>
              <w:snapToGrid/>
              <w:spacing w:line="300" w:lineRule="exact"/>
              <w:jc w:val="both"/>
              <w:textAlignment w:val="baseline"/>
              <w:rPr>
                <w:rFonts w:hint="eastAsia" w:ascii="仿宋"/>
                <w:b w:val="0"/>
                <w:bCs w:val="0"/>
                <w:color w:val="000000"/>
                <w:sz w:val="24"/>
                <w:szCs w:val="24"/>
                <w:lang w:val="en-US" w:eastAsia="zh-CN"/>
              </w:rPr>
            </w:pPr>
            <w:r>
              <w:rPr>
                <w:rFonts w:hint="eastAsia" w:ascii="仿宋"/>
                <w:b w:val="0"/>
                <w:bCs w:val="0"/>
                <w:color w:val="000000"/>
                <w:sz w:val="24"/>
                <w:szCs w:val="24"/>
                <w:highlight w:val="none"/>
                <w:lang w:val="en-US" w:eastAsia="zh-CN"/>
              </w:rPr>
              <w:t>四楼通往外部的疏散通道被锁上。</w:t>
            </w:r>
          </w:p>
        </w:tc>
        <w:tc>
          <w:tcPr>
            <w:tcW w:w="1900" w:type="dxa"/>
            <w:tcBorders>
              <w:tl2br w:val="nil"/>
              <w:tr2bl w:val="nil"/>
            </w:tcBorders>
            <w:noWrap/>
            <w:vAlign w:val="center"/>
          </w:tcPr>
          <w:p w14:paraId="104FDFAD">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榆林市榆阳区夕阳红爱心养老院</w:t>
            </w:r>
          </w:p>
        </w:tc>
        <w:tc>
          <w:tcPr>
            <w:tcW w:w="1184" w:type="dxa"/>
            <w:tcBorders>
              <w:tl2br w:val="nil"/>
              <w:tr2bl w:val="nil"/>
            </w:tcBorders>
            <w:noWrap/>
            <w:vAlign w:val="center"/>
          </w:tcPr>
          <w:p w14:paraId="3CE00B30">
            <w:pPr>
              <w:widowControl/>
              <w:kinsoku w:val="0"/>
              <w:autoSpaceDE w:val="0"/>
              <w:autoSpaceDN w:val="0"/>
              <w:adjustRightInd/>
              <w:snapToGrid/>
              <w:spacing w:line="300" w:lineRule="exact"/>
              <w:jc w:val="center"/>
              <w:textAlignment w:val="baseline"/>
              <w:rPr>
                <w:rFonts w:hint="eastAsia"/>
                <w:b w:val="0"/>
                <w:bCs w:val="0"/>
                <w:color w:val="000000"/>
                <w:sz w:val="24"/>
                <w:szCs w:val="24"/>
                <w:lang w:eastAsia="zh-CN"/>
              </w:rPr>
            </w:pPr>
            <w:r>
              <w:rPr>
                <w:rFonts w:hint="eastAsia"/>
                <w:b w:val="0"/>
                <w:bCs w:val="0"/>
                <w:color w:val="000000"/>
                <w:sz w:val="24"/>
                <w:szCs w:val="24"/>
                <w:lang w:eastAsia="zh-CN"/>
              </w:rPr>
              <w:t>榆林市</w:t>
            </w:r>
          </w:p>
          <w:p w14:paraId="27163DAE">
            <w:pPr>
              <w:widowControl/>
              <w:kinsoku w:val="0"/>
              <w:autoSpaceDE w:val="0"/>
              <w:autoSpaceDN w:val="0"/>
              <w:adjustRightInd/>
              <w:snapToGrid/>
              <w:spacing w:line="300" w:lineRule="exact"/>
              <w:jc w:val="center"/>
              <w:textAlignment w:val="baseline"/>
              <w:rPr>
                <w:rFonts w:hint="eastAsia"/>
                <w:b w:val="0"/>
                <w:bCs w:val="0"/>
                <w:color w:val="000000"/>
                <w:sz w:val="24"/>
                <w:szCs w:val="24"/>
                <w:lang w:eastAsia="zh-CN"/>
              </w:rPr>
            </w:pPr>
            <w:r>
              <w:rPr>
                <w:rFonts w:hint="eastAsia"/>
                <w:b w:val="0"/>
                <w:bCs w:val="0"/>
                <w:color w:val="000000"/>
                <w:sz w:val="24"/>
                <w:szCs w:val="24"/>
                <w:lang w:eastAsia="zh-CN"/>
              </w:rPr>
              <w:t>人民政府</w:t>
            </w:r>
          </w:p>
        </w:tc>
        <w:tc>
          <w:tcPr>
            <w:tcW w:w="1650" w:type="dxa"/>
            <w:tcBorders>
              <w:tl2br w:val="nil"/>
              <w:tr2bl w:val="nil"/>
            </w:tcBorders>
            <w:noWrap/>
            <w:vAlign w:val="center"/>
          </w:tcPr>
          <w:p w14:paraId="5FCA3EFE">
            <w:pPr>
              <w:widowControl/>
              <w:kinsoku w:val="0"/>
              <w:autoSpaceDE w:val="0"/>
              <w:autoSpaceDN w:val="0"/>
              <w:adjustRightInd/>
              <w:snapToGrid/>
              <w:spacing w:line="300" w:lineRule="exact"/>
              <w:jc w:val="center"/>
              <w:textAlignment w:val="baseline"/>
              <w:rPr>
                <w:rFonts w:hint="eastAsia" w:ascii="仿宋"/>
                <w:b w:val="0"/>
                <w:bCs w:val="0"/>
                <w:color w:val="000000"/>
                <w:sz w:val="24"/>
                <w:szCs w:val="24"/>
                <w:lang w:val="en-US" w:eastAsia="zh-CN"/>
              </w:rPr>
            </w:pPr>
            <w:r>
              <w:rPr>
                <w:rFonts w:hint="eastAsia"/>
                <w:b w:val="0"/>
                <w:bCs w:val="0"/>
                <w:color w:val="000000"/>
                <w:sz w:val="24"/>
                <w:szCs w:val="24"/>
                <w:lang w:val="en-US" w:eastAsia="zh-CN"/>
              </w:rPr>
              <w:t>省民政厅</w:t>
            </w:r>
          </w:p>
        </w:tc>
        <w:tc>
          <w:tcPr>
            <w:tcW w:w="1415" w:type="dxa"/>
            <w:tcBorders>
              <w:tl2br w:val="nil"/>
              <w:tr2bl w:val="nil"/>
            </w:tcBorders>
            <w:noWrap/>
            <w:vAlign w:val="center"/>
          </w:tcPr>
          <w:p w14:paraId="5E231D66">
            <w:pPr>
              <w:spacing w:line="300" w:lineRule="exact"/>
              <w:jc w:val="center"/>
              <w:rPr>
                <w:rFonts w:hint="eastAsia" w:ascii="仿宋"/>
                <w:b w:val="0"/>
                <w:bCs w:val="0"/>
                <w:color w:val="000000"/>
                <w:sz w:val="24"/>
                <w:szCs w:val="24"/>
                <w:lang w:val="en-US" w:eastAsia="zh-CN"/>
              </w:rPr>
            </w:pPr>
            <w:r>
              <w:rPr>
                <w:rFonts w:hint="eastAsia" w:ascii="仿宋"/>
                <w:b w:val="0"/>
                <w:bCs w:val="0"/>
                <w:color w:val="000000"/>
                <w:sz w:val="24"/>
                <w:szCs w:val="24"/>
                <w:lang w:val="en-US" w:eastAsia="zh-CN"/>
              </w:rPr>
              <w:t>2025年5月10日</w:t>
            </w:r>
          </w:p>
        </w:tc>
        <w:tc>
          <w:tcPr>
            <w:tcW w:w="1140" w:type="dxa"/>
            <w:tcBorders>
              <w:tl2br w:val="nil"/>
              <w:tr2bl w:val="nil"/>
            </w:tcBorders>
            <w:noWrap/>
            <w:vAlign w:val="center"/>
          </w:tcPr>
          <w:p w14:paraId="52A99359">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同意</w:t>
            </w:r>
          </w:p>
          <w:p w14:paraId="1E8BA04A">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lang w:val="en-US" w:eastAsia="zh-CN"/>
              </w:rPr>
            </w:pPr>
            <w:r>
              <w:rPr>
                <w:rFonts w:hint="eastAsia" w:ascii="仿宋" w:eastAsia="仿宋" w:cs="仿宋"/>
                <w:i w:val="0"/>
                <w:color w:val="000000"/>
                <w:kern w:val="0"/>
                <w:sz w:val="24"/>
                <w:szCs w:val="24"/>
                <w:u w:val="none"/>
                <w:lang w:val="en-US" w:eastAsia="zh-CN"/>
              </w:rPr>
              <w:t>销号</w:t>
            </w:r>
          </w:p>
        </w:tc>
      </w:tr>
    </w:tbl>
    <w:p w14:paraId="4464005C">
      <w:pPr>
        <w:ind w:firstLine="618" w:firstLineChars="198"/>
        <w:jc w:val="left"/>
        <w:rPr>
          <w:rFonts w:ascii="仿宋" w:cs="宋体"/>
          <w:color w:val="000000"/>
          <w:kern w:val="0"/>
          <w:highlight w:val="none"/>
        </w:rPr>
        <w:sectPr>
          <w:pgSz w:w="16838" w:h="11906" w:orient="landscape"/>
          <w:pgMar w:top="1587" w:right="1101" w:bottom="1587" w:left="1587" w:header="851" w:footer="964" w:gutter="0"/>
          <w:pgNumType w:fmt="numberInDash"/>
          <w:cols w:space="720" w:num="1"/>
          <w:rtlGutter w:val="1"/>
          <w:docGrid w:type="linesAndChars" w:linePitch="615" w:charSpace="-1683"/>
        </w:sectPr>
      </w:pPr>
    </w:p>
    <w:p w14:paraId="79A9BE9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小标宋简体">
    <w:altName w:val="汉仪书宋二KW"/>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64CA8"/>
    <w:rsid w:val="FFE64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Char"/>
    <w:basedOn w:val="3"/>
    <w:next w:val="1"/>
    <w:qFormat/>
    <w:uiPriority w:val="0"/>
    <w:pPr>
      <w:widowControl/>
      <w:spacing w:after="160" w:line="240" w:lineRule="exact"/>
      <w:jc w:val="left"/>
    </w:pPr>
    <w:rPr>
      <w:rFonts w:ascii="Verdana" w:hAnsi="Verdana" w:eastAsia="仿宋_GB2312"/>
      <w:kern w:val="0"/>
      <w:sz w:val="24"/>
    </w:rPr>
  </w:style>
  <w:style w:type="paragraph" w:styleId="3">
    <w:name w:val="Document Map"/>
    <w:basedOn w:val="1"/>
    <w:qFormat/>
    <w:uiPriority w:val="0"/>
    <w:pPr>
      <w:shd w:val="clear" w:color="000000" w:fill="000080"/>
    </w:pPr>
  </w:style>
  <w:style w:type="paragraph" w:styleId="4">
    <w:name w:val="Body Text"/>
    <w:basedOn w:val="1"/>
    <w:next w:val="1"/>
    <w:qFormat/>
    <w:uiPriority w:val="0"/>
    <w:pPr>
      <w:spacing w:after="120"/>
    </w:pPr>
    <w:rPr>
      <w:rFonts w:eastAsia="方正仿宋简体"/>
      <w:szCs w:val="20"/>
    </w:rPr>
  </w:style>
  <w:style w:type="paragraph" w:styleId="5">
    <w:name w:val="footer"/>
    <w:basedOn w:val="1"/>
    <w:qFormat/>
    <w:uiPriority w:val="0"/>
    <w:pPr>
      <w:tabs>
        <w:tab w:val="center" w:pos="4153"/>
        <w:tab w:val="right" w:pos="8306"/>
      </w:tabs>
      <w:snapToGrid w:val="0"/>
      <w:jc w:val="left"/>
    </w:pPr>
    <w:rPr>
      <w:rFonts w:eastAsia="仿宋_GB231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2025-09-18T12:40:00Z</dcterms:created>
  <dc:creator>Dnmhsqj</dc:creator>
  <cp:lastModifiedBy>Dnmhsqj</cp:lastModifiedBy>
  <dcterms:modified xsi:type="dcterms:W3CDTF">2025-09-18T12:40:52Z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ACE6B0B8B6FB595A3F8DCB68CC86BE95_41</vt:lpwstr>
  </property>
</Properties>
</file>