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3EEA4">
      <w:pPr>
        <w:keepNext w:val="0"/>
        <w:keepLines w:val="0"/>
        <w:pageBreakBefore w:val="0"/>
        <w:widowControl w:val="0"/>
        <w:kinsoku/>
        <w:wordWrap/>
        <w:overflowPunct/>
        <w:topLinePunct w:val="0"/>
        <w:autoSpaceDE/>
        <w:autoSpaceDN/>
        <w:bidi w:val="0"/>
        <w:adjustRightInd/>
        <w:snapToGrid/>
        <w:spacing w:line="600" w:lineRule="exact"/>
        <w:ind w:left="-414" w:leftChars="-133" w:firstLine="477" w:firstLineChars="153"/>
        <w:textAlignment w:val="auto"/>
        <w:outlineLvl w:val="9"/>
        <w:rPr>
          <w:rFonts w:ascii="黑体" w:eastAsia="黑体"/>
          <w:color w:val="000000"/>
        </w:rPr>
      </w:pPr>
      <w:r>
        <w:rPr>
          <w:rFonts w:ascii="黑体" w:eastAsia="黑体"/>
          <w:color w:val="000000"/>
        </w:rPr>
        <w:t>附件</w:t>
      </w:r>
    </w:p>
    <w:p w14:paraId="1122689C">
      <w:pPr>
        <w:pStyle w:val="2"/>
        <w:spacing w:after="0" w:line="600" w:lineRule="exact"/>
        <w:rPr>
          <w:rFonts w:hint="eastAsia"/>
          <w:color w:val="000000"/>
        </w:rPr>
      </w:pPr>
    </w:p>
    <w:p w14:paraId="50055CD1">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1"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p>
    <w:bookmarkEnd w:id="1"/>
    <w:p w14:paraId="74EF6138">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4"/>
        <w:tblW w:w="14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92"/>
        <w:gridCol w:w="736"/>
        <w:gridCol w:w="3615"/>
        <w:gridCol w:w="1773"/>
        <w:gridCol w:w="1184"/>
        <w:gridCol w:w="1650"/>
        <w:gridCol w:w="1415"/>
        <w:gridCol w:w="1140"/>
      </w:tblGrid>
      <w:tr w14:paraId="60D1BD9C">
        <w:trPr>
          <w:trHeight w:val="877" w:hRule="atLeast"/>
          <w:tblHeader/>
          <w:jc w:val="center"/>
        </w:trPr>
        <w:tc>
          <w:tcPr>
            <w:tcW w:w="840" w:type="dxa"/>
            <w:tcBorders>
              <w:tl2br w:val="nil"/>
              <w:tr2bl w:val="nil"/>
            </w:tcBorders>
            <w:noWrap/>
            <w:vAlign w:val="center"/>
          </w:tcPr>
          <w:p w14:paraId="3C95425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lang w:eastAsia="zh-CN"/>
              </w:rPr>
            </w:pPr>
            <w:r>
              <w:rPr>
                <w:rFonts w:hint="eastAsia" w:ascii="黑体" w:eastAsia="黑体" w:cs="黑体"/>
                <w:b w:val="0"/>
                <w:bCs/>
                <w:color w:val="000000"/>
                <w:kern w:val="0"/>
                <w:sz w:val="24"/>
                <w:szCs w:val="24"/>
                <w:highlight w:val="none"/>
                <w:lang w:eastAsia="zh-CN"/>
              </w:rPr>
              <w:t>序号</w:t>
            </w:r>
          </w:p>
        </w:tc>
        <w:tc>
          <w:tcPr>
            <w:tcW w:w="2592" w:type="dxa"/>
            <w:tcBorders>
              <w:tl2br w:val="nil"/>
              <w:tr2bl w:val="nil"/>
            </w:tcBorders>
            <w:noWrap/>
            <w:vAlign w:val="center"/>
          </w:tcPr>
          <w:p w14:paraId="60B8387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隐患名称</w:t>
            </w:r>
          </w:p>
        </w:tc>
        <w:tc>
          <w:tcPr>
            <w:tcW w:w="736" w:type="dxa"/>
            <w:tcBorders>
              <w:tl2br w:val="nil"/>
              <w:tr2bl w:val="nil"/>
            </w:tcBorders>
            <w:noWrap/>
            <w:vAlign w:val="center"/>
          </w:tcPr>
          <w:p w14:paraId="1044F77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w:t>
            </w:r>
          </w:p>
          <w:p w14:paraId="286CE96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分类</w:t>
            </w:r>
          </w:p>
        </w:tc>
        <w:tc>
          <w:tcPr>
            <w:tcW w:w="3615" w:type="dxa"/>
            <w:tcBorders>
              <w:tl2br w:val="nil"/>
              <w:tr2bl w:val="nil"/>
            </w:tcBorders>
            <w:noWrap/>
            <w:vAlign w:val="center"/>
          </w:tcPr>
          <w:p w14:paraId="5133660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隐患基本情况</w:t>
            </w:r>
          </w:p>
        </w:tc>
        <w:tc>
          <w:tcPr>
            <w:tcW w:w="1773" w:type="dxa"/>
            <w:tcBorders>
              <w:tl2br w:val="nil"/>
              <w:tr2bl w:val="nil"/>
            </w:tcBorders>
            <w:noWrap/>
            <w:vAlign w:val="center"/>
          </w:tcPr>
          <w:p w14:paraId="253BA69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治理责任单位</w:t>
            </w:r>
          </w:p>
        </w:tc>
        <w:tc>
          <w:tcPr>
            <w:tcW w:w="1184" w:type="dxa"/>
            <w:tcBorders>
              <w:tl2br w:val="nil"/>
              <w:tr2bl w:val="nil"/>
            </w:tcBorders>
            <w:noWrap/>
            <w:vAlign w:val="center"/>
          </w:tcPr>
          <w:p w14:paraId="2380BA3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属地监管</w:t>
            </w:r>
          </w:p>
          <w:p w14:paraId="0E15B8E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责任单位</w:t>
            </w:r>
          </w:p>
        </w:tc>
        <w:tc>
          <w:tcPr>
            <w:tcW w:w="1650" w:type="dxa"/>
            <w:tcBorders>
              <w:tl2br w:val="nil"/>
              <w:tr2bl w:val="nil"/>
            </w:tcBorders>
            <w:noWrap/>
            <w:vAlign w:val="center"/>
          </w:tcPr>
          <w:p w14:paraId="21CC508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行业督办单位</w:t>
            </w:r>
          </w:p>
        </w:tc>
        <w:tc>
          <w:tcPr>
            <w:tcW w:w="1415" w:type="dxa"/>
            <w:tcBorders>
              <w:tl2br w:val="nil"/>
              <w:tr2bl w:val="nil"/>
            </w:tcBorders>
            <w:noWrap/>
            <w:vAlign w:val="center"/>
          </w:tcPr>
          <w:p w14:paraId="533749BF">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整改时限</w:t>
            </w:r>
          </w:p>
        </w:tc>
        <w:tc>
          <w:tcPr>
            <w:tcW w:w="1140" w:type="dxa"/>
            <w:tcBorders>
              <w:tl2br w:val="nil"/>
              <w:tr2bl w:val="nil"/>
            </w:tcBorders>
            <w:noWrap/>
            <w:vAlign w:val="center"/>
          </w:tcPr>
          <w:p w14:paraId="33D9942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销号</w:t>
            </w:r>
          </w:p>
          <w:p w14:paraId="378802C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意见</w:t>
            </w:r>
          </w:p>
        </w:tc>
      </w:tr>
      <w:tr w14:paraId="488C0366">
        <w:trPr>
          <w:trHeight w:val="2783" w:hRule="atLeast"/>
          <w:jc w:val="center"/>
        </w:trPr>
        <w:tc>
          <w:tcPr>
            <w:tcW w:w="840" w:type="dxa"/>
            <w:tcBorders>
              <w:tl2br w:val="nil"/>
              <w:tr2bl w:val="nil"/>
            </w:tcBorders>
            <w:noWrap/>
            <w:vAlign w:val="center"/>
          </w:tcPr>
          <w:p w14:paraId="0F9921D5">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1</w:t>
            </w:r>
          </w:p>
        </w:tc>
        <w:tc>
          <w:tcPr>
            <w:tcW w:w="2592" w:type="dxa"/>
            <w:tcBorders>
              <w:tl2br w:val="nil"/>
              <w:tr2bl w:val="nil"/>
            </w:tcBorders>
            <w:noWrap/>
            <w:vAlign w:val="center"/>
          </w:tcPr>
          <w:p w14:paraId="4B2E81B3">
            <w:pPr>
              <w:widowControl w:val="0"/>
              <w:kinsoku/>
              <w:autoSpaceDE/>
              <w:autoSpaceDN/>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平利县民主巷自建房连墙件整层缺失安全隐患</w:t>
            </w:r>
          </w:p>
        </w:tc>
        <w:tc>
          <w:tcPr>
            <w:tcW w:w="736" w:type="dxa"/>
            <w:tcBorders>
              <w:tl2br w:val="nil"/>
              <w:tr2bl w:val="nil"/>
            </w:tcBorders>
            <w:noWrap/>
            <w:vAlign w:val="center"/>
          </w:tcPr>
          <w:p w14:paraId="255F4918">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住建</w:t>
            </w:r>
          </w:p>
        </w:tc>
        <w:tc>
          <w:tcPr>
            <w:tcW w:w="3615" w:type="dxa"/>
            <w:tcBorders>
              <w:tl2br w:val="nil"/>
              <w:tr2bl w:val="nil"/>
            </w:tcBorders>
            <w:noWrap/>
            <w:vAlign w:val="center"/>
          </w:tcPr>
          <w:p w14:paraId="416BF0ED">
            <w:pPr>
              <w:widowControl w:val="0"/>
              <w:kinsoku/>
              <w:autoSpaceDE/>
              <w:autoSpaceDN/>
              <w:adjustRightInd/>
              <w:snapToGrid/>
              <w:spacing w:line="30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cs="Times New Roman"/>
                <w:b w:val="0"/>
                <w:bCs w:val="0"/>
                <w:color w:val="000000"/>
                <w:sz w:val="24"/>
                <w:szCs w:val="24"/>
                <w:lang w:val="en-US" w:eastAsia="zh-CN"/>
              </w:rPr>
              <w:t>脚手架连墙件缺失，不满足水平间距≤3跨，约4.5m；垂直间距≤3步要求，且第5层至第6层未设置连墙件；脚手架整体未张挂安全立网，未设置水平网。依据《房屋市政工程生产安全重大事故隐患判定标准（2024版）》第七条第二款</w:t>
            </w:r>
            <w:r>
              <w:rPr>
                <w:rFonts w:hint="eastAsia" w:cs="Times New Roman"/>
                <w:b w:val="0"/>
                <w:bCs w:val="0"/>
                <w:color w:val="000000"/>
                <w:sz w:val="24"/>
                <w:szCs w:val="24"/>
                <w:lang w:val="en-US" w:eastAsia="zh-CN"/>
              </w:rPr>
              <w:t>，</w:t>
            </w:r>
            <w:r>
              <w:rPr>
                <w:rFonts w:hint="eastAsia" w:ascii="仿宋" w:cs="Times New Roman"/>
                <w:b w:val="0"/>
                <w:bCs w:val="0"/>
                <w:color w:val="000000"/>
                <w:sz w:val="24"/>
                <w:szCs w:val="24"/>
                <w:lang w:val="en-US" w:eastAsia="zh-CN"/>
              </w:rPr>
              <w:t>判定为重大事故隐患。</w:t>
            </w:r>
          </w:p>
        </w:tc>
        <w:tc>
          <w:tcPr>
            <w:tcW w:w="1773" w:type="dxa"/>
            <w:tcBorders>
              <w:tl2br w:val="nil"/>
              <w:tr2bl w:val="nil"/>
            </w:tcBorders>
            <w:noWrap/>
            <w:vAlign w:val="center"/>
          </w:tcPr>
          <w:p w14:paraId="5C64A699">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平利县民主巷自建房</w:t>
            </w:r>
          </w:p>
        </w:tc>
        <w:tc>
          <w:tcPr>
            <w:tcW w:w="1184" w:type="dxa"/>
            <w:tcBorders>
              <w:tl2br w:val="nil"/>
              <w:tr2bl w:val="nil"/>
            </w:tcBorders>
            <w:noWrap/>
            <w:vAlign w:val="center"/>
          </w:tcPr>
          <w:p w14:paraId="7B8DEA7C">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eastAsia="zh-CN"/>
              </w:rPr>
            </w:pPr>
            <w:r>
              <w:rPr>
                <w:rFonts w:hint="eastAsia"/>
                <w:b w:val="0"/>
                <w:bCs w:val="0"/>
                <w:color w:val="000000"/>
                <w:sz w:val="24"/>
                <w:szCs w:val="24"/>
                <w:lang w:eastAsia="zh-CN"/>
              </w:rPr>
              <w:t>安康</w:t>
            </w:r>
            <w:r>
              <w:rPr>
                <w:rFonts w:hint="eastAsia" w:ascii="仿宋"/>
                <w:b w:val="0"/>
                <w:bCs w:val="0"/>
                <w:color w:val="000000"/>
                <w:sz w:val="24"/>
                <w:szCs w:val="24"/>
                <w:lang w:eastAsia="zh-CN"/>
              </w:rPr>
              <w:t>市</w:t>
            </w:r>
          </w:p>
          <w:p w14:paraId="51AA3B4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rPr>
              <w:t>人民政府</w:t>
            </w:r>
          </w:p>
        </w:tc>
        <w:tc>
          <w:tcPr>
            <w:tcW w:w="1650" w:type="dxa"/>
            <w:tcBorders>
              <w:tl2br w:val="nil"/>
              <w:tr2bl w:val="nil"/>
            </w:tcBorders>
            <w:noWrap/>
            <w:vAlign w:val="center"/>
          </w:tcPr>
          <w:p w14:paraId="0A027C14">
            <w:pPr>
              <w:spacing w:line="300" w:lineRule="exact"/>
              <w:jc w:val="center"/>
              <w:rPr>
                <w:rFonts w:hint="eastAsia" w:ascii="仿宋"/>
                <w:color w:val="000000"/>
                <w:sz w:val="24"/>
                <w:szCs w:val="24"/>
                <w:lang w:eastAsia="zh-CN"/>
              </w:rPr>
            </w:pPr>
            <w:r>
              <w:rPr>
                <w:rFonts w:hint="eastAsia" w:ascii="仿宋"/>
                <w:color w:val="000000"/>
                <w:sz w:val="24"/>
                <w:szCs w:val="24"/>
                <w:lang w:eastAsia="zh-CN"/>
              </w:rPr>
              <w:t>省住房城乡</w:t>
            </w:r>
          </w:p>
          <w:p w14:paraId="49541E7C">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color w:val="000000"/>
                <w:sz w:val="24"/>
                <w:szCs w:val="24"/>
                <w:lang w:eastAsia="zh-CN"/>
              </w:rPr>
              <w:t>建设厅</w:t>
            </w:r>
          </w:p>
        </w:tc>
        <w:tc>
          <w:tcPr>
            <w:tcW w:w="1415" w:type="dxa"/>
            <w:tcBorders>
              <w:tl2br w:val="nil"/>
              <w:tr2bl w:val="nil"/>
            </w:tcBorders>
            <w:noWrap/>
            <w:vAlign w:val="center"/>
          </w:tcPr>
          <w:p w14:paraId="6DFED5C2">
            <w:pPr>
              <w:widowControl/>
              <w:kinsoku w:val="0"/>
              <w:autoSpaceDE w:val="0"/>
              <w:autoSpaceDN w:val="0"/>
              <w:adjustRightInd/>
              <w:snapToGrid/>
              <w:spacing w:line="300" w:lineRule="exact"/>
              <w:jc w:val="center"/>
              <w:textAlignment w:val="baseline"/>
              <w:rPr>
                <w:rFonts w:hint="eastAsia" w:ascii="仿宋" w:cs="Times New Roman"/>
                <w:b w:val="0"/>
                <w:bCs w:val="0"/>
                <w:color w:val="000000"/>
                <w:sz w:val="24"/>
                <w:szCs w:val="24"/>
                <w:lang w:val="en-US" w:eastAsia="zh-CN"/>
              </w:rPr>
            </w:pPr>
            <w:r>
              <w:rPr>
                <w:rFonts w:hint="eastAsia" w:ascii="仿宋" w:cs="Times New Roman"/>
                <w:b w:val="0"/>
                <w:bCs w:val="0"/>
                <w:color w:val="000000"/>
                <w:sz w:val="24"/>
                <w:szCs w:val="24"/>
                <w:lang w:val="en-US" w:eastAsia="zh-CN"/>
              </w:rPr>
              <w:t>2025年</w:t>
            </w:r>
          </w:p>
          <w:p w14:paraId="6D8D5965">
            <w:pPr>
              <w:widowControl/>
              <w:kinsoku w:val="0"/>
              <w:autoSpaceDE w:val="0"/>
              <w:autoSpaceDN w:val="0"/>
              <w:adjustRightInd/>
              <w:snapToGrid/>
              <w:spacing w:line="300" w:lineRule="exact"/>
              <w:jc w:val="center"/>
              <w:textAlignment w:val="baseline"/>
              <w:rPr>
                <w:rFonts w:hint="eastAsia" w:ascii="仿宋" w:cs="Times New Roman"/>
                <w:b w:val="0"/>
                <w:bCs w:val="0"/>
                <w:color w:val="000000"/>
                <w:sz w:val="24"/>
                <w:szCs w:val="24"/>
                <w:lang w:val="en-US" w:eastAsia="zh-CN"/>
              </w:rPr>
            </w:pPr>
            <w:r>
              <w:rPr>
                <w:rFonts w:hint="eastAsia" w:ascii="仿宋" w:cs="Times New Roman"/>
                <w:b w:val="0"/>
                <w:bCs w:val="0"/>
                <w:color w:val="000000"/>
                <w:sz w:val="24"/>
                <w:szCs w:val="24"/>
                <w:lang w:val="en-US" w:eastAsia="zh-CN"/>
              </w:rPr>
              <w:t>7月15日</w:t>
            </w:r>
          </w:p>
        </w:tc>
        <w:tc>
          <w:tcPr>
            <w:tcW w:w="1140" w:type="dxa"/>
            <w:tcBorders>
              <w:tl2br w:val="nil"/>
              <w:tr2bl w:val="nil"/>
            </w:tcBorders>
            <w:noWrap/>
            <w:vAlign w:val="center"/>
          </w:tcPr>
          <w:p w14:paraId="727F8E5D">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lang w:val="en-US" w:eastAsia="zh-CN"/>
              </w:rPr>
            </w:pPr>
            <w:r>
              <w:rPr>
                <w:rFonts w:hint="eastAsia" w:ascii="仿宋" w:eastAsia="仿宋" w:cs="仿宋"/>
                <w:i w:val="0"/>
                <w:color w:val="000000"/>
                <w:kern w:val="0"/>
                <w:sz w:val="24"/>
                <w:szCs w:val="24"/>
                <w:highlight w:val="none"/>
                <w:u w:val="none"/>
                <w:lang w:val="en-US" w:eastAsia="zh-CN"/>
              </w:rPr>
              <w:t>同意</w:t>
            </w:r>
          </w:p>
          <w:p w14:paraId="6EB1AAC9">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lang w:val="en-US" w:eastAsia="zh-CN"/>
              </w:rPr>
            </w:pPr>
            <w:r>
              <w:rPr>
                <w:rFonts w:hint="eastAsia" w:ascii="仿宋" w:eastAsia="仿宋" w:cs="仿宋"/>
                <w:i w:val="0"/>
                <w:color w:val="000000"/>
                <w:kern w:val="0"/>
                <w:sz w:val="24"/>
                <w:szCs w:val="24"/>
                <w:highlight w:val="none"/>
                <w:u w:val="none"/>
                <w:lang w:val="en-US" w:eastAsia="zh-CN"/>
              </w:rPr>
              <w:t>销号</w:t>
            </w:r>
          </w:p>
        </w:tc>
      </w:tr>
      <w:tr w14:paraId="139794A0">
        <w:trPr>
          <w:trHeight w:val="2896" w:hRule="atLeast"/>
          <w:jc w:val="center"/>
        </w:trPr>
        <w:tc>
          <w:tcPr>
            <w:tcW w:w="840" w:type="dxa"/>
            <w:tcBorders>
              <w:tl2br w:val="nil"/>
              <w:tr2bl w:val="nil"/>
            </w:tcBorders>
            <w:noWrap/>
            <w:vAlign w:val="center"/>
          </w:tcPr>
          <w:p w14:paraId="2455A702">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2</w:t>
            </w:r>
          </w:p>
        </w:tc>
        <w:tc>
          <w:tcPr>
            <w:tcW w:w="2592" w:type="dxa"/>
            <w:tcBorders>
              <w:tl2br w:val="nil"/>
              <w:tr2bl w:val="nil"/>
            </w:tcBorders>
            <w:noWrap/>
            <w:vAlign w:val="center"/>
          </w:tcPr>
          <w:p w14:paraId="707BC653">
            <w:pPr>
              <w:widowControl w:val="0"/>
              <w:kinsoku/>
              <w:autoSpaceDE/>
              <w:autoSpaceDN/>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平利县民主巷自建房物料提升机未经验收合格即投入使用、</w:t>
            </w:r>
            <w:r>
              <w:rPr>
                <w:rFonts w:hint="eastAsia" w:ascii="仿宋" w:cs="Times New Roman"/>
                <w:b w:val="0"/>
                <w:bCs w:val="0"/>
                <w:color w:val="000000"/>
                <w:sz w:val="24"/>
                <w:szCs w:val="24"/>
                <w:lang w:val="en-US" w:eastAsia="zh-CN"/>
              </w:rPr>
              <w:t>物料提升机安装拆卸</w:t>
            </w:r>
            <w:r>
              <w:rPr>
                <w:rFonts w:hint="eastAsia" w:ascii="仿宋"/>
                <w:b w:val="0"/>
                <w:bCs w:val="0"/>
                <w:color w:val="000000"/>
                <w:sz w:val="24"/>
                <w:szCs w:val="24"/>
                <w:lang w:val="en-US" w:eastAsia="zh-CN"/>
              </w:rPr>
              <w:t>未编制、未审核专项施工方案、特种作业人员未持证上岗安全隐患</w:t>
            </w:r>
          </w:p>
        </w:tc>
        <w:tc>
          <w:tcPr>
            <w:tcW w:w="736" w:type="dxa"/>
            <w:tcBorders>
              <w:tl2br w:val="nil"/>
              <w:tr2bl w:val="nil"/>
            </w:tcBorders>
            <w:noWrap/>
            <w:vAlign w:val="center"/>
          </w:tcPr>
          <w:p w14:paraId="4E83104A">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住建</w:t>
            </w:r>
          </w:p>
        </w:tc>
        <w:tc>
          <w:tcPr>
            <w:tcW w:w="3615" w:type="dxa"/>
            <w:tcBorders>
              <w:tl2br w:val="nil"/>
              <w:tr2bl w:val="nil"/>
            </w:tcBorders>
            <w:noWrap/>
            <w:vAlign w:val="center"/>
          </w:tcPr>
          <w:p w14:paraId="066B1669">
            <w:pPr>
              <w:widowControl w:val="0"/>
              <w:kinsoku/>
              <w:autoSpaceDE/>
              <w:autoSpaceDN/>
              <w:adjustRightInd/>
              <w:snapToGrid/>
              <w:spacing w:line="30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cs="Times New Roman"/>
                <w:b w:val="0"/>
                <w:bCs w:val="0"/>
                <w:color w:val="000000"/>
                <w:sz w:val="24"/>
                <w:szCs w:val="24"/>
                <w:lang w:val="en-US" w:eastAsia="zh-CN"/>
              </w:rPr>
              <w:t>物料提升机无安装和拆卸专项施工方案；已投入使用但无验收记录以及使用登记；物料提升机操作司机无有效的特种作业人员操作资格证</w:t>
            </w:r>
            <w:bookmarkStart w:id="0" w:name="hmcheck_f9d9c9b3ef5d4c86a5907a2181e2b551"/>
            <w:r>
              <w:rPr>
                <w:rFonts w:hint="eastAsia" w:ascii="仿宋" w:cs="Times New Roman"/>
                <w:b w:val="0"/>
                <w:bCs w:val="0"/>
                <w:color w:val="000000"/>
                <w:sz w:val="24"/>
                <w:szCs w:val="24"/>
                <w:shd w:val="clear" w:color="auto" w:fill="FFFFFF"/>
                <w:lang w:val="en-US" w:eastAsia="zh-CN"/>
              </w:rPr>
              <w:t>即</w:t>
            </w:r>
            <w:bookmarkEnd w:id="0"/>
            <w:r>
              <w:rPr>
                <w:rFonts w:hint="eastAsia" w:ascii="仿宋" w:cs="Times New Roman"/>
                <w:b w:val="0"/>
                <w:bCs w:val="0"/>
                <w:color w:val="000000"/>
                <w:sz w:val="24"/>
                <w:szCs w:val="24"/>
                <w:lang w:val="en-US" w:eastAsia="zh-CN"/>
              </w:rPr>
              <w:t>上岗操作设备。依据《房屋市政工程生产安全重大事故隐患判定标准（2024版）》第四条第四款</w:t>
            </w:r>
            <w:r>
              <w:rPr>
                <w:rFonts w:hint="eastAsia" w:cs="Times New Roman"/>
                <w:b w:val="0"/>
                <w:bCs w:val="0"/>
                <w:color w:val="000000"/>
                <w:sz w:val="24"/>
                <w:szCs w:val="24"/>
                <w:lang w:val="en-US" w:eastAsia="zh-CN"/>
              </w:rPr>
              <w:t>、</w:t>
            </w:r>
            <w:r>
              <w:rPr>
                <w:rFonts w:hint="eastAsia" w:ascii="仿宋" w:cs="Times New Roman"/>
                <w:b w:val="0"/>
                <w:bCs w:val="0"/>
                <w:color w:val="000000"/>
                <w:sz w:val="24"/>
                <w:szCs w:val="24"/>
                <w:lang w:val="en-US" w:eastAsia="zh-CN"/>
              </w:rPr>
              <w:t>第八条第一款</w:t>
            </w:r>
            <w:r>
              <w:rPr>
                <w:rFonts w:hint="eastAsia" w:cs="Times New Roman"/>
                <w:b w:val="0"/>
                <w:bCs w:val="0"/>
                <w:color w:val="000000"/>
                <w:sz w:val="24"/>
                <w:szCs w:val="24"/>
                <w:lang w:val="en-US" w:eastAsia="zh-CN"/>
              </w:rPr>
              <w:t>、</w:t>
            </w:r>
            <w:r>
              <w:rPr>
                <w:rFonts w:hint="eastAsia" w:ascii="仿宋" w:cs="Times New Roman"/>
                <w:b w:val="0"/>
                <w:bCs w:val="0"/>
                <w:color w:val="000000"/>
                <w:sz w:val="24"/>
                <w:szCs w:val="24"/>
                <w:lang w:val="en-US" w:eastAsia="zh-CN"/>
              </w:rPr>
              <w:t>第四条第三款，判定为重大事故隐患。</w:t>
            </w:r>
          </w:p>
        </w:tc>
        <w:tc>
          <w:tcPr>
            <w:tcW w:w="1773" w:type="dxa"/>
            <w:tcBorders>
              <w:tl2br w:val="nil"/>
              <w:tr2bl w:val="nil"/>
            </w:tcBorders>
            <w:noWrap/>
            <w:vAlign w:val="center"/>
          </w:tcPr>
          <w:p w14:paraId="6CDFE6A4">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平利县民主巷</w:t>
            </w:r>
          </w:p>
          <w:p w14:paraId="337CB918">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自建房</w:t>
            </w:r>
          </w:p>
        </w:tc>
        <w:tc>
          <w:tcPr>
            <w:tcW w:w="1184" w:type="dxa"/>
            <w:tcBorders>
              <w:tl2br w:val="nil"/>
              <w:tr2bl w:val="nil"/>
            </w:tcBorders>
            <w:noWrap/>
            <w:vAlign w:val="center"/>
          </w:tcPr>
          <w:p w14:paraId="1C21E1C9">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eastAsia="zh-CN"/>
              </w:rPr>
            </w:pPr>
            <w:r>
              <w:rPr>
                <w:rFonts w:hint="eastAsia"/>
                <w:b w:val="0"/>
                <w:bCs w:val="0"/>
                <w:color w:val="000000"/>
                <w:sz w:val="24"/>
                <w:szCs w:val="24"/>
                <w:lang w:eastAsia="zh-CN"/>
              </w:rPr>
              <w:t>安康</w:t>
            </w:r>
            <w:r>
              <w:rPr>
                <w:rFonts w:hint="eastAsia" w:ascii="仿宋"/>
                <w:b w:val="0"/>
                <w:bCs w:val="0"/>
                <w:color w:val="000000"/>
                <w:sz w:val="24"/>
                <w:szCs w:val="24"/>
                <w:lang w:eastAsia="zh-CN"/>
              </w:rPr>
              <w:t>市</w:t>
            </w:r>
          </w:p>
          <w:p w14:paraId="54F9ED14">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rPr>
              <w:t>人民政府</w:t>
            </w:r>
          </w:p>
        </w:tc>
        <w:tc>
          <w:tcPr>
            <w:tcW w:w="1650" w:type="dxa"/>
            <w:tcBorders>
              <w:tl2br w:val="nil"/>
              <w:tr2bl w:val="nil"/>
            </w:tcBorders>
            <w:noWrap/>
            <w:vAlign w:val="center"/>
          </w:tcPr>
          <w:p w14:paraId="0C69ED27">
            <w:pPr>
              <w:spacing w:line="300" w:lineRule="exact"/>
              <w:jc w:val="center"/>
              <w:rPr>
                <w:rFonts w:hint="eastAsia" w:ascii="仿宋"/>
                <w:color w:val="000000"/>
                <w:sz w:val="24"/>
                <w:szCs w:val="24"/>
                <w:lang w:eastAsia="zh-CN"/>
              </w:rPr>
            </w:pPr>
            <w:r>
              <w:rPr>
                <w:rFonts w:hint="eastAsia" w:ascii="仿宋"/>
                <w:color w:val="000000"/>
                <w:sz w:val="24"/>
                <w:szCs w:val="24"/>
                <w:lang w:eastAsia="zh-CN"/>
              </w:rPr>
              <w:t>省住房城乡</w:t>
            </w:r>
          </w:p>
          <w:p w14:paraId="7E77284F">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color w:val="000000"/>
                <w:sz w:val="24"/>
                <w:szCs w:val="24"/>
                <w:lang w:eastAsia="zh-CN"/>
              </w:rPr>
              <w:t>建设厅</w:t>
            </w:r>
          </w:p>
        </w:tc>
        <w:tc>
          <w:tcPr>
            <w:tcW w:w="1415" w:type="dxa"/>
            <w:tcBorders>
              <w:tl2br w:val="nil"/>
              <w:tr2bl w:val="nil"/>
            </w:tcBorders>
            <w:noWrap/>
            <w:vAlign w:val="center"/>
          </w:tcPr>
          <w:p w14:paraId="48E7772B">
            <w:pPr>
              <w:widowControl/>
              <w:kinsoku w:val="0"/>
              <w:autoSpaceDE w:val="0"/>
              <w:autoSpaceDN w:val="0"/>
              <w:adjustRightInd/>
              <w:snapToGrid/>
              <w:spacing w:line="300" w:lineRule="exact"/>
              <w:jc w:val="center"/>
              <w:textAlignment w:val="baseline"/>
              <w:rPr>
                <w:rFonts w:hint="eastAsia" w:ascii="仿宋" w:cs="Times New Roman"/>
                <w:b w:val="0"/>
                <w:bCs w:val="0"/>
                <w:color w:val="000000"/>
                <w:sz w:val="24"/>
                <w:szCs w:val="24"/>
                <w:lang w:val="en-US" w:eastAsia="zh-CN"/>
              </w:rPr>
            </w:pPr>
            <w:r>
              <w:rPr>
                <w:rFonts w:hint="eastAsia" w:ascii="仿宋" w:cs="Times New Roman"/>
                <w:b w:val="0"/>
                <w:bCs w:val="0"/>
                <w:color w:val="000000"/>
                <w:sz w:val="24"/>
                <w:szCs w:val="24"/>
                <w:lang w:val="en-US" w:eastAsia="zh-CN"/>
              </w:rPr>
              <w:t>2025年</w:t>
            </w:r>
          </w:p>
          <w:p w14:paraId="3DE11E16">
            <w:pPr>
              <w:widowControl/>
              <w:kinsoku w:val="0"/>
              <w:autoSpaceDE w:val="0"/>
              <w:autoSpaceDN w:val="0"/>
              <w:adjustRightInd/>
              <w:snapToGrid/>
              <w:spacing w:line="300" w:lineRule="exact"/>
              <w:jc w:val="center"/>
              <w:textAlignment w:val="baseline"/>
              <w:rPr>
                <w:rFonts w:hint="eastAsia" w:ascii="仿宋" w:cs="Times New Roman"/>
                <w:b w:val="0"/>
                <w:bCs w:val="0"/>
                <w:color w:val="000000"/>
                <w:sz w:val="24"/>
                <w:szCs w:val="24"/>
                <w:lang w:val="en-US" w:eastAsia="zh-CN"/>
              </w:rPr>
            </w:pPr>
            <w:r>
              <w:rPr>
                <w:rFonts w:hint="eastAsia" w:ascii="仿宋" w:cs="Times New Roman"/>
                <w:b w:val="0"/>
                <w:bCs w:val="0"/>
                <w:color w:val="000000"/>
                <w:sz w:val="24"/>
                <w:szCs w:val="24"/>
                <w:lang w:val="en-US" w:eastAsia="zh-CN"/>
              </w:rPr>
              <w:t>7月15日</w:t>
            </w:r>
          </w:p>
        </w:tc>
        <w:tc>
          <w:tcPr>
            <w:tcW w:w="1140" w:type="dxa"/>
            <w:tcBorders>
              <w:tl2br w:val="nil"/>
              <w:tr2bl w:val="nil"/>
            </w:tcBorders>
            <w:noWrap/>
            <w:vAlign w:val="center"/>
          </w:tcPr>
          <w:p w14:paraId="4DA622B8">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4202116F">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highlight w:val="yellow"/>
                <w:u w:val="none"/>
                <w:lang w:val="en-US" w:eastAsia="zh-CN"/>
              </w:rPr>
            </w:pPr>
            <w:r>
              <w:rPr>
                <w:rFonts w:hint="eastAsia" w:ascii="仿宋" w:eastAsia="仿宋" w:cs="仿宋"/>
                <w:i w:val="0"/>
                <w:color w:val="000000"/>
                <w:kern w:val="0"/>
                <w:sz w:val="24"/>
                <w:szCs w:val="24"/>
                <w:u w:val="none"/>
                <w:lang w:val="en-US" w:eastAsia="zh-CN"/>
              </w:rPr>
              <w:t>销号</w:t>
            </w:r>
          </w:p>
        </w:tc>
      </w:tr>
      <w:tr w14:paraId="2009D574">
        <w:trPr>
          <w:trHeight w:val="2282" w:hRule="atLeast"/>
          <w:jc w:val="center"/>
        </w:trPr>
        <w:tc>
          <w:tcPr>
            <w:tcW w:w="840" w:type="dxa"/>
            <w:tcBorders>
              <w:tl2br w:val="nil"/>
              <w:tr2bl w:val="nil"/>
            </w:tcBorders>
            <w:noWrap/>
            <w:vAlign w:val="center"/>
          </w:tcPr>
          <w:p w14:paraId="5895983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3</w:t>
            </w:r>
          </w:p>
        </w:tc>
        <w:tc>
          <w:tcPr>
            <w:tcW w:w="2592" w:type="dxa"/>
            <w:tcBorders>
              <w:tl2br w:val="nil"/>
              <w:tr2bl w:val="nil"/>
            </w:tcBorders>
            <w:noWrap/>
            <w:vAlign w:val="center"/>
          </w:tcPr>
          <w:p w14:paraId="5D7847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铜川世茂铸铝有限公司熔融金属铸造环节未设置紧急排放和应急储存设施安全隐患</w:t>
            </w:r>
          </w:p>
        </w:tc>
        <w:tc>
          <w:tcPr>
            <w:tcW w:w="736" w:type="dxa"/>
            <w:tcBorders>
              <w:tl2br w:val="nil"/>
              <w:tr2bl w:val="nil"/>
            </w:tcBorders>
            <w:noWrap/>
            <w:vAlign w:val="center"/>
          </w:tcPr>
          <w:p w14:paraId="3F7C576B">
            <w:pPr>
              <w:widowControl w:val="0"/>
              <w:kinsoku/>
              <w:autoSpaceDE/>
              <w:autoSpaceDN/>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工贸</w:t>
            </w:r>
          </w:p>
        </w:tc>
        <w:tc>
          <w:tcPr>
            <w:tcW w:w="3615" w:type="dxa"/>
            <w:tcBorders>
              <w:tl2br w:val="nil"/>
              <w:tr2bl w:val="nil"/>
            </w:tcBorders>
            <w:noWrap/>
            <w:vAlign w:val="center"/>
          </w:tcPr>
          <w:p w14:paraId="7A041667">
            <w:pPr>
              <w:widowControl w:val="0"/>
              <w:kinsoku/>
              <w:autoSpaceDE/>
              <w:autoSpaceDN/>
              <w:adjustRightInd/>
              <w:snapToGrid/>
              <w:spacing w:line="30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cs="Times New Roman"/>
                <w:b w:val="0"/>
                <w:bCs w:val="0"/>
                <w:color w:val="000000" w:themeColor="text1"/>
                <w:sz w:val="24"/>
                <w:szCs w:val="24"/>
                <w:lang w:val="en-US" w:eastAsia="zh-CN"/>
                <w14:textFill>
                  <w14:solidFill>
                    <w14:schemeClr w14:val="tx1"/>
                  </w14:solidFill>
                </w14:textFill>
              </w:rPr>
              <w:t>排放闸板离主流槽远，会造成铝液在此处凝固，紧急情况下，闸板不能打开，不能将熔融铝排出。依据《工贸企业重大事故隐患判定标准》第五条第三款，</w:t>
            </w:r>
            <w:r>
              <w:rPr>
                <w:rFonts w:hint="eastAsia" w:ascii="仿宋" w:cs="Times New Roman"/>
                <w:b w:val="0"/>
                <w:bCs w:val="0"/>
                <w:color w:val="000000"/>
                <w:sz w:val="24"/>
                <w:szCs w:val="24"/>
                <w:lang w:val="en-US" w:eastAsia="zh-CN"/>
              </w:rPr>
              <w:t>判定为重大事故隐患。</w:t>
            </w:r>
          </w:p>
        </w:tc>
        <w:tc>
          <w:tcPr>
            <w:tcW w:w="1773" w:type="dxa"/>
            <w:tcBorders>
              <w:tl2br w:val="nil"/>
              <w:tr2bl w:val="nil"/>
            </w:tcBorders>
            <w:noWrap/>
            <w:vAlign w:val="center"/>
          </w:tcPr>
          <w:p w14:paraId="54DC0535">
            <w:pPr>
              <w:widowControl w:val="0"/>
              <w:kinsoku/>
              <w:autoSpaceDE/>
              <w:autoSpaceDN/>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铜川世茂铸铝有限公司</w:t>
            </w:r>
          </w:p>
        </w:tc>
        <w:tc>
          <w:tcPr>
            <w:tcW w:w="1184" w:type="dxa"/>
            <w:tcBorders>
              <w:tl2br w:val="nil"/>
              <w:tr2bl w:val="nil"/>
            </w:tcBorders>
            <w:noWrap/>
            <w:vAlign w:val="center"/>
          </w:tcPr>
          <w:p w14:paraId="5B9FEE89">
            <w:pPr>
              <w:widowControl w:val="0"/>
              <w:kinsoku/>
              <w:autoSpaceDE/>
              <w:autoSpaceDN/>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铜川市</w:t>
            </w:r>
          </w:p>
          <w:p w14:paraId="3EEE980B">
            <w:pPr>
              <w:widowControl w:val="0"/>
              <w:kinsoku/>
              <w:autoSpaceDE/>
              <w:autoSpaceDN/>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人民政府</w:t>
            </w:r>
          </w:p>
        </w:tc>
        <w:tc>
          <w:tcPr>
            <w:tcW w:w="1650" w:type="dxa"/>
            <w:tcBorders>
              <w:tl2br w:val="nil"/>
              <w:tr2bl w:val="nil"/>
            </w:tcBorders>
            <w:noWrap/>
            <w:vAlign w:val="center"/>
          </w:tcPr>
          <w:p w14:paraId="0DC78CB3">
            <w:pPr>
              <w:widowControl w:val="0"/>
              <w:kinsoku/>
              <w:autoSpaceDE/>
              <w:autoSpaceDN/>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省应急</w:t>
            </w:r>
          </w:p>
          <w:p w14:paraId="339E5F86">
            <w:pPr>
              <w:widowControl w:val="0"/>
              <w:kinsoku/>
              <w:autoSpaceDE/>
              <w:autoSpaceDN/>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管理厅</w:t>
            </w:r>
          </w:p>
        </w:tc>
        <w:tc>
          <w:tcPr>
            <w:tcW w:w="1415" w:type="dxa"/>
            <w:tcBorders>
              <w:tl2br w:val="nil"/>
              <w:tr2bl w:val="nil"/>
            </w:tcBorders>
            <w:noWrap/>
            <w:vAlign w:val="center"/>
          </w:tcPr>
          <w:p w14:paraId="55A9F040">
            <w:pPr>
              <w:widowControl w:val="0"/>
              <w:kinsoku/>
              <w:autoSpaceDE/>
              <w:autoSpaceDN/>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w:t>
            </w:r>
          </w:p>
          <w:p w14:paraId="4E2FDABE">
            <w:pPr>
              <w:widowControl w:val="0"/>
              <w:kinsoku/>
              <w:autoSpaceDE/>
              <w:autoSpaceDN/>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10月31日</w:t>
            </w:r>
          </w:p>
        </w:tc>
        <w:tc>
          <w:tcPr>
            <w:tcW w:w="1140" w:type="dxa"/>
            <w:tcBorders>
              <w:tl2br w:val="nil"/>
              <w:tr2bl w:val="nil"/>
            </w:tcBorders>
            <w:noWrap/>
            <w:vAlign w:val="center"/>
          </w:tcPr>
          <w:p w14:paraId="7EC07D5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5724B8C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bl>
    <w:p w14:paraId="54EC1EA5">
      <w:pPr>
        <w:ind w:firstLine="618" w:firstLineChars="198"/>
        <w:jc w:val="left"/>
        <w:rPr>
          <w:rFonts w:ascii="仿宋" w:cs="宋体"/>
          <w:color w:val="000000"/>
          <w:kern w:val="0"/>
          <w:highlight w:val="none"/>
        </w:rPr>
        <w:sectPr>
          <w:pgSz w:w="16838" w:h="11906" w:orient="landscape"/>
          <w:pgMar w:top="1587" w:right="1101" w:bottom="1587" w:left="1587" w:header="851" w:footer="964" w:gutter="0"/>
          <w:pgNumType w:fmt="numberInDash"/>
          <w:cols w:space="720" w:num="1"/>
          <w:rtlGutter w:val="1"/>
          <w:docGrid w:type="linesAndChars" w:linePitch="615" w:charSpace="-1683"/>
        </w:sectPr>
      </w:pPr>
    </w:p>
    <w:p w14:paraId="6BC4961E">
      <w:pPr>
        <w:rPr>
          <w:rFonts w:hint="eastAsia" w:eastAsia="仿宋"/>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B4FA9"/>
    <w:rsid w:val="4E7B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方正仿宋简体"/>
      <w:szCs w:val="20"/>
    </w:rPr>
  </w:style>
  <w:style w:type="paragraph" w:styleId="3">
    <w:name w:val="footer"/>
    <w:basedOn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2025-10-23T16:33:00Z</dcterms:created>
  <dc:creator>高幸</dc:creator>
  <cp:lastModifiedBy>高幸</cp:lastModifiedBy>
  <dcterms:modified xsi:type="dcterms:W3CDTF">2025-10-23T16:33:54Z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CEB91932DC8C3B5761E8F968D5A8507F_41</vt:lpwstr>
  </property>
</Properties>
</file>