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CBBB1">
      <w:pPr>
        <w:pStyle w:val="2"/>
        <w:keepNext w:val="0"/>
        <w:keepLines w:val="0"/>
        <w:pageBreakBefore w:val="0"/>
        <w:widowControl w:val="0"/>
        <w:wordWrap/>
        <w:topLinePunct w:val="0"/>
        <w:bidi w:val="0"/>
        <w:spacing w:line="400" w:lineRule="exact"/>
        <w:jc w:val="both"/>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附件1</w:t>
      </w:r>
    </w:p>
    <w:p w14:paraId="0B4FCB9F">
      <w:pPr>
        <w:jc w:val="center"/>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p>
    <w:p w14:paraId="55D6BC89">
      <w:pPr>
        <w:jc w:val="center"/>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bookmarkStart w:id="2" w:name="_GoBack"/>
      <w:r>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t>陕西省</w:t>
      </w:r>
      <w:r>
        <w:rPr>
          <w:rFonts w:hint="eastAsia" w:asciiTheme="majorEastAsia" w:hAnsiTheme="majorEastAsia" w:eastAsiaTheme="majorEastAsia" w:cstheme="majorEastAsia"/>
          <w:b/>
          <w:bCs/>
          <w:color w:val="000000" w:themeColor="text1"/>
          <w:sz w:val="44"/>
          <w:szCs w:val="44"/>
          <w14:textFill>
            <w14:solidFill>
              <w14:schemeClr w14:val="tx1"/>
            </w14:solidFill>
          </w14:textFill>
        </w:rPr>
        <w:t>工贸行业中小微企业安全生产保障能力提升指南</w:t>
      </w:r>
      <w:r>
        <w:rPr>
          <w:rFonts w:hint="eastAsia" w:asciiTheme="majorEastAsia" w:hAnsiTheme="majorEastAsia" w:eastAsiaTheme="majorEastAsia" w:cstheme="majorEastAsia"/>
          <w:b/>
          <w:bCs/>
          <w:color w:val="000000" w:themeColor="text1"/>
          <w:sz w:val="44"/>
          <w:szCs w:val="44"/>
          <w:lang w:eastAsia="zh-CN"/>
          <w14:textFill>
            <w14:solidFill>
              <w14:schemeClr w14:val="tx1"/>
            </w14:solidFill>
          </w14:textFill>
        </w:rPr>
        <w:t>（试行）</w:t>
      </w:r>
    </w:p>
    <w:bookmarkEnd w:id="2"/>
    <w:p w14:paraId="25B78CD4">
      <w:pPr>
        <w:keepNext w:val="0"/>
        <w:keepLines w:val="0"/>
        <w:pageBreakBefore w:val="0"/>
        <w:widowControl w:val="0"/>
        <w:kinsoku/>
        <w:wordWrap/>
        <w:overflowPunct w:val="0"/>
        <w:topLinePunct w:val="0"/>
        <w:bidi w:val="0"/>
        <w:spacing w:line="540" w:lineRule="exact"/>
        <w:ind w:firstLine="695" w:firstLineChars="200"/>
        <w:rPr>
          <w:rFonts w:hint="eastAsia" w:ascii="仿宋_GB2312" w:hAnsi="仿宋_GB2312" w:eastAsia="仿宋_GB2312" w:cs="仿宋_GB2312"/>
          <w:b/>
          <w:bCs/>
          <w:color w:val="000000" w:themeColor="text1"/>
          <w:spacing w:val="13"/>
          <w:sz w:val="32"/>
          <w:szCs w:val="32"/>
          <w:lang w:eastAsia="zh-CN"/>
          <w14:textFill>
            <w14:solidFill>
              <w14:schemeClr w14:val="tx1"/>
            </w14:solidFill>
          </w14:textFill>
        </w:rPr>
      </w:pPr>
    </w:p>
    <w:p w14:paraId="6605AABD">
      <w:pPr>
        <w:keepNext w:val="0"/>
        <w:keepLines w:val="0"/>
        <w:pageBreakBefore w:val="0"/>
        <w:widowControl w:val="0"/>
        <w:kinsoku/>
        <w:wordWrap/>
        <w:overflowPunct w:val="0"/>
        <w:topLinePunct w:val="0"/>
        <w:autoSpaceDE/>
        <w:autoSpaceDN/>
        <w:bidi w:val="0"/>
        <w:adjustRightInd/>
        <w:snapToGrid/>
        <w:spacing w:line="560" w:lineRule="exact"/>
        <w:ind w:firstLine="695" w:firstLineChars="200"/>
        <w:textAlignment w:val="auto"/>
        <w:rPr>
          <w:rFonts w:hint="eastAsia" w:ascii="仿宋_GB2312" w:hAnsi="仿宋_GB2312" w:eastAsia="仿宋_GB2312" w:cs="仿宋_GB2312"/>
          <w:color w:val="000000" w:themeColor="text1"/>
          <w:spacing w:val="9"/>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13"/>
          <w:sz w:val="32"/>
          <w:szCs w:val="32"/>
          <w:lang w:eastAsia="zh-CN"/>
          <w14:textFill>
            <w14:solidFill>
              <w14:schemeClr w14:val="tx1"/>
            </w14:solidFill>
          </w14:textFill>
        </w:rPr>
        <w:t xml:space="preserve">第一条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为提升工贸行业中小微企业安全生产保障能力，遏制工贸中小微企业事故，</w:t>
      </w:r>
      <w:r>
        <w:rPr>
          <w:rFonts w:hint="eastAsia" w:ascii="仿宋_GB2312" w:hAnsi="仿宋_GB2312" w:eastAsia="仿宋_GB2312" w:cs="仿宋_GB2312"/>
          <w:color w:val="000000" w:themeColor="text1"/>
          <w:spacing w:val="9"/>
          <w:sz w:val="32"/>
          <w:szCs w:val="32"/>
          <w:lang w:eastAsia="zh-CN"/>
          <w14:textFill>
            <w14:solidFill>
              <w14:schemeClr w14:val="tx1"/>
            </w14:solidFill>
          </w14:textFill>
        </w:rPr>
        <w:t>保障人民群众生命财产安全，根据《中华人民共和国安全生产法》《陕西省安全生产条例》等法律法规，制定本指南。</w:t>
      </w:r>
    </w:p>
    <w:p w14:paraId="4EF83062">
      <w:pPr>
        <w:keepNext w:val="0"/>
        <w:keepLines w:val="0"/>
        <w:pageBreakBefore w:val="0"/>
        <w:widowControl w:val="0"/>
        <w:kinsoku/>
        <w:wordWrap/>
        <w:overflowPunct w:val="0"/>
        <w:topLinePunct w:val="0"/>
        <w:autoSpaceDE/>
        <w:autoSpaceDN/>
        <w:bidi w:val="0"/>
        <w:adjustRightInd/>
        <w:snapToGrid/>
        <w:spacing w:line="560" w:lineRule="exact"/>
        <w:ind w:firstLine="679" w:firstLineChars="200"/>
        <w:textAlignment w:val="auto"/>
        <w:rPr>
          <w:rFonts w:hint="eastAsia" w:ascii="仿宋_GB2312" w:hAnsi="仿宋_GB2312" w:eastAsia="仿宋_GB2312" w:cs="仿宋_GB2312"/>
          <w:color w:val="000000" w:themeColor="text1"/>
          <w:spacing w:val="9"/>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9"/>
          <w:sz w:val="32"/>
          <w:szCs w:val="32"/>
          <w:lang w:eastAsia="zh-CN"/>
          <w14:textFill>
            <w14:solidFill>
              <w14:schemeClr w14:val="tx1"/>
            </w14:solidFill>
          </w14:textFill>
        </w:rPr>
        <w:t>第二条</w:t>
      </w:r>
      <w:r>
        <w:rPr>
          <w:rFonts w:hint="eastAsia" w:ascii="仿宋_GB2312" w:hAnsi="仿宋_GB2312" w:eastAsia="仿宋_GB2312" w:cs="仿宋_GB2312"/>
          <w:color w:val="000000" w:themeColor="text1"/>
          <w:spacing w:val="9"/>
          <w:sz w:val="32"/>
          <w:szCs w:val="32"/>
          <w:lang w:eastAsia="zh-CN"/>
          <w14:textFill>
            <w14:solidFill>
              <w14:schemeClr w14:val="tx1"/>
            </w14:solidFill>
          </w14:textFill>
        </w:rPr>
        <w:t xml:space="preserve">  本指南适用于陕西省境内冶金、有色、建材、机械、轻工、纺织、烟草、</w:t>
      </w:r>
      <w:r>
        <w:rPr>
          <w:rFonts w:hint="eastAsia" w:ascii="仿宋_GB2312" w:hAnsi="仿宋_GB2312" w:eastAsia="仿宋_GB2312" w:cs="仿宋_GB2312"/>
          <w:b w:val="0"/>
          <w:bCs w:val="0"/>
          <w:color w:val="000000" w:themeColor="text1"/>
          <w:spacing w:val="9"/>
          <w:sz w:val="32"/>
          <w:szCs w:val="32"/>
          <w:lang w:eastAsia="zh-CN"/>
          <w14:textFill>
            <w14:solidFill>
              <w14:schemeClr w14:val="tx1"/>
            </w14:solidFill>
          </w14:textFill>
        </w:rPr>
        <w:t>商贸等</w:t>
      </w:r>
      <w:r>
        <w:rPr>
          <w:rFonts w:hint="eastAsia" w:ascii="仿宋_GB2312" w:hAnsi="仿宋_GB2312" w:eastAsia="仿宋_GB2312" w:cs="仿宋_GB2312"/>
          <w:color w:val="000000" w:themeColor="text1"/>
          <w:spacing w:val="9"/>
          <w:sz w:val="32"/>
          <w:szCs w:val="32"/>
          <w:lang w:eastAsia="zh-CN"/>
          <w14:textFill>
            <w14:solidFill>
              <w14:schemeClr w14:val="tx1"/>
            </w14:solidFill>
          </w14:textFill>
        </w:rPr>
        <w:t>行业中小微企业（以下统称企业）的安全生产管理。</w:t>
      </w:r>
    </w:p>
    <w:p w14:paraId="085A1C4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中</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型企业指从业人员</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30</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0人</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及</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以上</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10</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00人以下，且营业收入</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20</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00万元</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及</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以上</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000</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以下的企业；小型企业指从业人员20人</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及</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以上300人以下，且营业收入300万元</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及</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以上2000万元以下的企业；微型企业</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指</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从业人员20人以下或营业收入300万元以下的企业</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p>
    <w:p w14:paraId="3057C04A">
      <w:pPr>
        <w:keepNext w:val="0"/>
        <w:keepLines w:val="0"/>
        <w:pageBreakBefore w:val="0"/>
        <w:widowControl w:val="0"/>
        <w:kinsoku/>
        <w:wordWrap/>
        <w:topLinePunct w:val="0"/>
        <w:autoSpaceDE/>
        <w:autoSpaceDN/>
        <w:bidi w:val="0"/>
        <w:adjustRightInd/>
        <w:snapToGrid/>
        <w:spacing w:line="560" w:lineRule="exact"/>
        <w:ind w:firstLine="695"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bookmarkStart w:id="0" w:name="bookmark20"/>
      <w:bookmarkEnd w:id="0"/>
      <w:bookmarkStart w:id="1" w:name="bookmark19"/>
      <w:bookmarkEnd w:id="1"/>
      <w:r>
        <w:rPr>
          <w:rFonts w:hint="eastAsia" w:ascii="仿宋_GB2312" w:hAnsi="仿宋_GB2312" w:eastAsia="仿宋_GB2312" w:cs="仿宋_GB2312"/>
          <w:b/>
          <w:bCs/>
          <w:color w:val="000000" w:themeColor="text1"/>
          <w:spacing w:val="13"/>
          <w:sz w:val="32"/>
          <w:szCs w:val="32"/>
          <w:lang w:eastAsia="zh-CN"/>
          <w14:textFill>
            <w14:solidFill>
              <w14:schemeClr w14:val="tx1"/>
            </w14:solidFill>
          </w14:textFill>
        </w:rPr>
        <w:t xml:space="preserve">第三条 </w:t>
      </w:r>
      <w:r>
        <w:rPr>
          <w:rFonts w:hint="eastAsia" w:ascii="仿宋_GB2312" w:hAnsi="仿宋_GB2312" w:eastAsia="仿宋_GB2312" w:cs="仿宋_GB2312"/>
          <w:b/>
          <w:bCs/>
          <w:color w:val="000000" w:themeColor="text1"/>
          <w:spacing w:val="13"/>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企业应</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按规定设置</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安全生产管理机构</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或者</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配备</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专兼职</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安全生产管理人员。</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金属冶炼</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企业</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从业人员在100人以上的，应当设置安全生产管理机构或者配备不低于从业人员千分之三的专职安全生产管理人员，但最低不少于3人；从业人员在100人以下的，应当设置安全生产管理机构或者配备专职安全生产管理人员。</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其他</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企业</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从业人员</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100</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人以上的，应当设置安全生产管理机构或者配备专职安全生产管理人员；从业人员不足</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100</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人的，配备专职或者兼职的安全生产管理人员。</w:t>
      </w:r>
    </w:p>
    <w:p w14:paraId="2F5327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第四条</w:t>
      </w:r>
      <w:r>
        <w:rPr>
          <w:rStyle w:val="6"/>
          <w:rFonts w:hint="eastAsia" w:ascii="仿宋_GB2312" w:hAnsi="仿宋_GB2312" w:eastAsia="仿宋_GB2312" w:cs="仿宋_GB2312"/>
          <w:color w:val="000000" w:themeColor="text1"/>
          <w:spacing w:val="30"/>
          <w:sz w:val="32"/>
          <w:szCs w:val="32"/>
          <w:lang w:val="en-US" w:eastAsia="zh-CN"/>
          <w14:textFill>
            <w14:solidFill>
              <w14:schemeClr w14:val="tx1"/>
            </w14:solidFill>
          </w14:textFill>
        </w:rPr>
        <w:t xml:space="preserve"> </w:t>
      </w:r>
      <w:r>
        <w:rPr>
          <w:rStyle w:val="6"/>
          <w:rFonts w:hint="eastAsia" w:ascii="仿宋_GB2312" w:hAnsi="仿宋_GB2312" w:eastAsia="仿宋_GB2312" w:cs="仿宋_GB2312"/>
          <w:color w:val="000000" w:themeColor="text1"/>
          <w:spacing w:val="30"/>
          <w:sz w:val="32"/>
          <w:szCs w:val="32"/>
          <w14:textFill>
            <w14:solidFill>
              <w14:schemeClr w14:val="tx1"/>
            </w14:solidFill>
          </w14:textFill>
        </w:rPr>
        <w:t>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企业应当建立健全全员安全生产责任制，明确主要负责人、其他负责人、职能部门负责人、生产车间负责人、生产班组负责人、岗位从业人员等全体人员的安全生产责任范围和考核标准等内容，编制全员安全生产责任清单，并严格落实和考核。考核结果作为从业人员职务调整、收入分配等的重要依据。</w:t>
      </w:r>
    </w:p>
    <w:p w14:paraId="054A06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企业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主要负责人对本单位安全生产工作负有下列职责：</w:t>
      </w:r>
    </w:p>
    <w:p w14:paraId="3A405D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（一）建立健全并落实本单位全员安全生产责任制，</w:t>
      </w:r>
      <w:r>
        <w:rPr>
          <w:rFonts w:hint="eastAsia" w:ascii="仿宋_GB2312" w:hAnsi="仿宋_GB2312" w:eastAsia="仿宋_GB2312" w:cs="仿宋_GB2312"/>
          <w:color w:val="000000" w:themeColor="text1"/>
          <w:sz w:val="32"/>
          <w:szCs w:val="32"/>
          <w:lang w:eastAsia="zh-CN"/>
          <w14:textFill>
            <w14:solidFill>
              <w14:schemeClr w14:val="tx1"/>
            </w14:solidFill>
          </w14:textFill>
        </w:rPr>
        <w:t>加强</w:t>
      </w:r>
      <w:r>
        <w:rPr>
          <w:rFonts w:hint="eastAsia" w:ascii="仿宋_GB2312" w:hAnsi="仿宋_GB2312" w:eastAsia="仿宋_GB2312" w:cs="仿宋_GB2312"/>
          <w:color w:val="000000" w:themeColor="text1"/>
          <w:sz w:val="32"/>
          <w:szCs w:val="32"/>
          <w14:textFill>
            <w14:solidFill>
              <w14:schemeClr w14:val="tx1"/>
            </w14:solidFill>
          </w14:textFill>
        </w:rPr>
        <w:t>安全生产标准化建设</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14:paraId="6D0082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（二）组织制定并实施本单位安全生产规章制度和操作规程；</w:t>
      </w:r>
    </w:p>
    <w:p w14:paraId="0835F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组织制定并实施本单位安全生产教育和培训计划；</w:t>
      </w:r>
    </w:p>
    <w:p w14:paraId="2FE8F5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（四）保证本单位安全生产投入的有效实施；</w:t>
      </w:r>
    </w:p>
    <w:p w14:paraId="0D1210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（五）组织建立并落实安全风险分级管控和隐患排查治理双重预防工作机制，督促、检查本单位的安全生产工作，及时消除生产安全事故隐患；</w:t>
      </w:r>
    </w:p>
    <w:p w14:paraId="01ED8B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组织制定并实施本单位的生产安全事故应急救援预案；</w:t>
      </w:r>
    </w:p>
    <w:p w14:paraId="47163C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七</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）及时、如实报告生产安全事故。</w:t>
      </w:r>
    </w:p>
    <w:p w14:paraId="1BE80CD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企业安全生产管理机构及安全生产管理人员对本单位安全生产工作负有下列职责：</w:t>
      </w:r>
    </w:p>
    <w:p w14:paraId="1C7286B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（一）组织或者参与拟订本单位安全生产规章制度、操作规程和生产安全事故应急救援预案；</w:t>
      </w:r>
    </w:p>
    <w:p w14:paraId="31C4E5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（二）组织或者参与本单位安全生产教育和培训，如实记录安全生产教育和培训情况；</w:t>
      </w:r>
    </w:p>
    <w:p w14:paraId="4381069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（三）根据本单位的生产经营特点，组织对生产工序、设备、生产经营场所等开展危险源辨识、评估，督促落实本单位重大危险源的安全管理措施；</w:t>
      </w:r>
    </w:p>
    <w:p w14:paraId="215B2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（四）组织或者参与本单位应急救援演练；</w:t>
      </w:r>
    </w:p>
    <w:p w14:paraId="18CBE6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（五）及时检查本单位的安全生产状况，</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定期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开展生产安全事故隐患排查，及时提出改进安全生产管理的建议。对检查中发现的事故隐患，应当立即整改；不能立即整改的，应当在确保安全的前提下报告主要负责人限期整改；</w:t>
      </w:r>
    </w:p>
    <w:p w14:paraId="6348A9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（六）制止和纠正违章指挥、强令冒险作业、违反操作规程的行为；</w:t>
      </w:r>
    </w:p>
    <w:p w14:paraId="2247CF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（七）督促落实本单位安全生产整改措施。</w:t>
      </w:r>
    </w:p>
    <w:p w14:paraId="70CC65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第七条</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企业主要负责人和安全生产管理人员必须具备与本单位所从事的生产经营活动相应的安全生产知识和管理能力。金属冶炼企业的主要负责人和安全生产管理人员应当由主管的负有安全生产监督管理职责的部门对其安全生产知识和管理能力考核合格。金属冶炼企业应当配备注册安全工程师从事安全生产管理工作。</w:t>
      </w:r>
    </w:p>
    <w:p w14:paraId="247855A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第八条</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企业应及时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获取、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掌握</w:t>
      </w:r>
      <w:r>
        <w:rPr>
          <w:rFonts w:hint="eastAsia" w:ascii="仿宋_GB2312" w:hAnsi="仿宋_GB2312" w:eastAsia="仿宋_GB2312" w:cs="仿宋_GB2312"/>
          <w:color w:val="000000" w:themeColor="text1"/>
          <w:sz w:val="32"/>
          <w:szCs w:val="32"/>
          <w:highlight w:val="none"/>
          <w14:textFill>
            <w14:solidFill>
              <w14:schemeClr w14:val="tx1"/>
            </w14:solidFill>
          </w14:textFill>
        </w:rPr>
        <w:t>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适用的安全生产法律法规、标准规范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14:textFill>
            <w14:solidFill>
              <w14:schemeClr w14:val="tx1"/>
            </w14:solidFill>
          </w14:textFill>
        </w:rPr>
        <w:t>从业人员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加强</w:t>
      </w:r>
      <w:r>
        <w:rPr>
          <w:rFonts w:hint="eastAsia" w:ascii="仿宋_GB2312" w:hAnsi="仿宋_GB2312" w:eastAsia="仿宋_GB2312" w:cs="仿宋_GB2312"/>
          <w:color w:val="000000" w:themeColor="text1"/>
          <w:sz w:val="32"/>
          <w:szCs w:val="32"/>
          <w:highlight w:val="none"/>
          <w14:textFill>
            <w14:solidFill>
              <w14:schemeClr w14:val="tx1"/>
            </w14:solidFill>
          </w14:textFill>
        </w:rPr>
        <w:t>培训和考核。</w:t>
      </w:r>
    </w:p>
    <w:p w14:paraId="12FD8EB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与从业人员订立的劳动合同，应当载明有关保障从业人员劳动安全、防止职业危害的事项，以及依法为从业人员办理工伤保险的事项。金属冶炼</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应当投保安全生产责任保险。</w:t>
      </w:r>
    </w:p>
    <w:p w14:paraId="585D4D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第九条</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业应建立健全并落实安全生产规章制度。</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安全生产规章制度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应</w:t>
      </w:r>
      <w:r>
        <w:rPr>
          <w:rFonts w:hint="eastAsia" w:ascii="仿宋_GB2312" w:hAnsi="仿宋_GB2312" w:eastAsia="仿宋_GB2312" w:cs="仿宋_GB2312"/>
          <w:color w:val="000000" w:themeColor="text1"/>
          <w:sz w:val="32"/>
          <w:szCs w:val="32"/>
          <w:highlight w:val="none"/>
          <w14:textFill>
            <w14:solidFill>
              <w14:schemeClr w14:val="tx1"/>
            </w14:solidFill>
          </w14:textFill>
        </w:rPr>
        <w:t>包含下列内容：安全生产资金投入、安全生产检查、风险分级管控、隐患排查治理、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内部事故隐患报告奖励</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生产</w:t>
      </w:r>
      <w:r>
        <w:rPr>
          <w:rFonts w:hint="eastAsia" w:ascii="仿宋_GB2312" w:hAnsi="仿宋_GB2312" w:eastAsia="仿宋_GB2312" w:cs="仿宋_GB2312"/>
          <w:color w:val="000000" w:themeColor="text1"/>
          <w:sz w:val="32"/>
          <w:szCs w:val="32"/>
          <w:highlight w:val="none"/>
          <w14:textFill>
            <w14:solidFill>
              <w14:schemeClr w14:val="tx1"/>
            </w14:solidFill>
          </w14:textFill>
        </w:rPr>
        <w:t>教育</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培训、安全设施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设备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、危险作业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安全管理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、安全生产奖惩、相关方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安全</w:t>
      </w:r>
      <w:r>
        <w:rPr>
          <w:rFonts w:hint="eastAsia" w:ascii="仿宋_GB2312" w:hAnsi="仿宋_GB2312" w:eastAsia="仿宋_GB2312" w:cs="仿宋_GB2312"/>
          <w:color w:val="000000" w:themeColor="text1"/>
          <w:sz w:val="32"/>
          <w:szCs w:val="32"/>
          <w:highlight w:val="none"/>
          <w14:textFill>
            <w14:solidFill>
              <w14:schemeClr w14:val="tx1"/>
            </w14:solidFill>
          </w14:textFill>
        </w:rPr>
        <w:t>管理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劳动防护用品管理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安全警示标志管理、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应急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预案</w:t>
      </w:r>
      <w:r>
        <w:rPr>
          <w:rFonts w:hint="eastAsia" w:ascii="仿宋_GB2312" w:hAnsi="仿宋_GB2312" w:eastAsia="仿宋_GB2312" w:cs="仿宋_GB2312"/>
          <w:color w:val="000000" w:themeColor="text1"/>
          <w:sz w:val="32"/>
          <w:szCs w:val="32"/>
          <w:highlight w:val="none"/>
          <w14:textFill>
            <w14:solidFill>
              <w14:schemeClr w14:val="tx1"/>
            </w14:solidFill>
          </w14:textFill>
        </w:rPr>
        <w:t>管理、事故报告和事故应急救援等。</w:t>
      </w:r>
    </w:p>
    <w:p w14:paraId="07E7135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第十条</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企业要</w:t>
      </w:r>
      <w:r>
        <w:rPr>
          <w:rFonts w:hint="eastAsia" w:ascii="仿宋_GB2312" w:hAnsi="仿宋_GB2312" w:eastAsia="仿宋_GB2312" w:cs="仿宋_GB2312"/>
          <w:color w:val="000000" w:themeColor="text1"/>
          <w:sz w:val="32"/>
          <w:szCs w:val="32"/>
          <w:highlight w:val="none"/>
          <w14:textFill>
            <w14:solidFill>
              <w14:schemeClr w14:val="tx1"/>
            </w14:solidFill>
          </w14:textFill>
        </w:rPr>
        <w:t>结合生产工艺以及岗位作业安全风险，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组织</w:t>
      </w:r>
      <w:r>
        <w:rPr>
          <w:rFonts w:hint="eastAsia" w:ascii="仿宋_GB2312" w:hAnsi="仿宋_GB2312" w:eastAsia="仿宋_GB2312" w:cs="仿宋_GB2312"/>
          <w:color w:val="000000" w:themeColor="text1"/>
          <w:sz w:val="32"/>
          <w:szCs w:val="32"/>
          <w:highlight w:val="none"/>
          <w14:textFill>
            <w14:solidFill>
              <w14:schemeClr w14:val="tx1"/>
            </w14:solidFill>
          </w14:textFill>
        </w:rPr>
        <w:t>编制岗位安全操作规程，</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教育和督促从业人员严格执行本单位的安全操作规程</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严格</w:t>
      </w:r>
      <w:r>
        <w:rPr>
          <w:rFonts w:hint="eastAsia" w:ascii="仿宋_GB2312" w:hAnsi="仿宋_GB2312" w:eastAsia="仿宋_GB2312" w:cs="仿宋_GB2312"/>
          <w:color w:val="000000" w:themeColor="text1"/>
          <w:sz w:val="32"/>
          <w:szCs w:val="32"/>
          <w:highlight w:val="none"/>
          <w14:textFill>
            <w14:solidFill>
              <w14:schemeClr w14:val="tx1"/>
            </w14:solidFill>
          </w14:textFill>
        </w:rPr>
        <w:t>规范从业人员的生产作业行为。</w:t>
      </w:r>
    </w:p>
    <w:p w14:paraId="576E25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第十一条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企业要建立并落实安全风险分级管控和隐患排查治理双重预防工作机制，及时消除生产安全事故隐患。小微企业依据《陕西省工贸小型企业安全风险分级管控和隐患排查治理双重预防机制建设指南》和《陕西省工贸微型企业安全风险分级管控和隐患排查治理双重预防机制建设指南》执行。</w:t>
      </w:r>
    </w:p>
    <w:p w14:paraId="444848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outlineLvl w:val="9"/>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第十二条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企业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应对从业人员进行安全生产教育和培训，保证从业人员具备必要的安全生产知识</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和技能</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，熟悉</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本单位</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安全生产规章制度和安全操作规程，掌握本岗位的安全操作技能，了解事故应急处理措施，知悉自身在安全生产方面的权利和义务</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确认其能力符合岗位要求。</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未经安全生产教育和培训合格的从业人员，不得上岗作业。</w:t>
      </w:r>
    </w:p>
    <w:p w14:paraId="1901EA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新入厂人员在上岗前必须经过厂、车间、班组三级安全教育培训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转岗、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复岗（</w:t>
      </w:r>
      <w:r>
        <w:rPr>
          <w:rFonts w:hint="eastAsia" w:ascii="仿宋_GB2312" w:hAnsi="仿宋_GB2312" w:eastAsia="仿宋_GB2312" w:cs="仿宋_GB2312"/>
          <w:color w:val="000000" w:themeColor="text1"/>
          <w:sz w:val="32"/>
          <w:szCs w:val="32"/>
          <w14:textFill>
            <w14:solidFill>
              <w14:schemeClr w14:val="tx1"/>
            </w14:solidFill>
          </w14:textFill>
        </w:rPr>
        <w:t>离岗6个月及以上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人员</w:t>
      </w:r>
      <w:r>
        <w:rPr>
          <w:rFonts w:hint="eastAsia" w:ascii="仿宋_GB2312" w:hAnsi="仿宋_GB2312" w:eastAsia="仿宋_GB2312" w:cs="仿宋_GB2312"/>
          <w:color w:val="000000" w:themeColor="text1"/>
          <w:sz w:val="32"/>
          <w:szCs w:val="32"/>
          <w14:textFill>
            <w14:solidFill>
              <w14:schemeClr w14:val="tx1"/>
            </w14:solidFill>
          </w14:textFill>
        </w:rPr>
        <w:t>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重新</w:t>
      </w:r>
      <w:r>
        <w:rPr>
          <w:rFonts w:hint="eastAsia" w:ascii="仿宋_GB2312" w:hAnsi="仿宋_GB2312" w:eastAsia="仿宋_GB2312" w:cs="仿宋_GB2312"/>
          <w:color w:val="000000" w:themeColor="text1"/>
          <w:sz w:val="32"/>
          <w:szCs w:val="32"/>
          <w14:textFill>
            <w14:solidFill>
              <w14:schemeClr w14:val="tx1"/>
            </w14:solidFill>
          </w14:textFill>
        </w:rPr>
        <w:t>进行车间、班组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安全教育培训，经考核合格后，方可上岗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企业</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应对</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四新”（</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新工艺、新技术、新材料</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新设备</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作</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业人员进行专门的安全生产教育和培训</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14:paraId="21BF82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企业应对相关方作业人员进行安全教育培训</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p>
    <w:p w14:paraId="724A589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特种作业人员必须按照国家有关规定经专门的安全作业培训，取得</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特种作业操作</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资格</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证</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，方可上岗作业。</w:t>
      </w:r>
    </w:p>
    <w:p w14:paraId="5AF0300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企业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应当建立安全生产教育和培训档案，如实记录安全生产教育和培训的时间、内容、参加人员以及考核结果等情况。</w:t>
      </w:r>
    </w:p>
    <w:p w14:paraId="41E8BD1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第十三条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企业新建、改建、扩建工程项目的安全设施，必须与主体工程同时设计、同时施工、同时投入生产和使用。安全设施投资应当纳入建设项目概算。</w:t>
      </w:r>
    </w:p>
    <w:p w14:paraId="369D12D8">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default" w:ascii="仿宋_GB2312" w:hAnsi="仿宋_GB2312" w:eastAsia="仿宋_GB2312" w:cs="仿宋_GB2312"/>
          <w:b w:val="0"/>
          <w:bCs w:val="0"/>
          <w:i w:val="0"/>
          <w:caps w:val="0"/>
          <w:color w:val="000000" w:themeColor="text1"/>
          <w:spacing w:val="0"/>
          <w:sz w:val="32"/>
          <w:szCs w:val="32"/>
          <w:highlight w:val="none"/>
          <w:shd w:val="clear" w:fill="FFFFFF"/>
          <w:lang w:val="en-US"/>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金属冶炼建设项目的安全设施设计应当按照国家有关规定报经有关部门审查。</w:t>
      </w:r>
    </w:p>
    <w:p w14:paraId="2B6CD1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企业</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应当具备</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安全生产条件所必需的资金投入，由</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企业</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的决策</w:t>
      </w:r>
      <w:r>
        <w:rPr>
          <w:rFonts w:hint="eastAsia" w:ascii="仿宋_GB2312" w:hAnsi="仿宋_GB2312" w:eastAsia="仿宋_GB2312" w:cs="仿宋_GB2312"/>
          <w:color w:val="000000" w:themeColor="text1"/>
          <w:sz w:val="32"/>
          <w:szCs w:val="32"/>
          <w:highlight w:val="none"/>
          <w14:textFill>
            <w14:solidFill>
              <w14:schemeClr w14:val="tx1"/>
            </w14:solidFill>
          </w14:textFill>
        </w:rPr>
        <w:t>机构、主要负责人或者个人经营的投资人予以保证，并对由于安全生产所必需的资金投入不足导致的后果承担责任。</w:t>
      </w:r>
    </w:p>
    <w:p w14:paraId="11D1D2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应当按照国家有关规定提取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使用安全生产费用，专门用于改善安全生产条件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安全生产费用在成本中据实列支。</w:t>
      </w:r>
    </w:p>
    <w:p w14:paraId="1C3F9F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企业</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应</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对设备</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设施</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进行经常性维护、保养，并定期检测，保证正常运转。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设备设施检维修前应制定方案，检维修方案应包含作业行为分析和安全风险控制措施，检维修过程中应加强监督检查。</w:t>
      </w:r>
    </w:p>
    <w:p w14:paraId="4F9D09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outlineLvl w:val="9"/>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企业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使用的危险物品的容器、运输工具必须按照国家有关规定，由专业生产单位生产，并经具有专业资质的检测、检验机构检测、检验合格，取得安全使用证或者安全标志，方可投入使用。</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企业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不得使用应当淘汰的危及生产安全的工艺、设备。</w:t>
      </w:r>
    </w:p>
    <w:p w14:paraId="13E575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outlineLvl w:val="9"/>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企业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不得关闭、破坏直接关系生产安全的监控、报警、防护、救生设备、设施，或者篡改、隐瞒、销毁其相关数据、信息。</w:t>
      </w:r>
      <w:r>
        <w:rPr>
          <w:rFonts w:hint="eastAsia" w:ascii="仿宋_GB2312" w:hAnsi="仿宋_GB2312" w:eastAsia="仿宋_GB2312" w:cs="仿宋_GB2312"/>
          <w:color w:val="000000" w:themeColor="text1"/>
          <w:sz w:val="32"/>
          <w:szCs w:val="32"/>
          <w14:textFill>
            <w14:solidFill>
              <w14:schemeClr w14:val="tx1"/>
            </w14:solidFill>
          </w14:textFill>
        </w:rPr>
        <w:t>安全设备设施不得随意拆除、挪用或弃置不用；确因检维修拆除的，应采取临时安全措施，检维修完毕后立即复原。</w:t>
      </w:r>
    </w:p>
    <w:p w14:paraId="161A5E3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八</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企业进行吊装、动火、临时用电和危险装置设备试生产、重大危险源作业、有毒有害、有限空间、高处作业以及临近高压输电线路、临近输油（气）管线作业等危险作业的，应当遵守下列规定：</w:t>
      </w:r>
    </w:p>
    <w:p w14:paraId="5B7BF85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71"/>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（一）根据危害风险制定作业方案、安全防范措施和应急处置措施，履行内部审批手续；</w:t>
      </w:r>
    </w:p>
    <w:p w14:paraId="4F9C5AC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73"/>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（二）按照规定配备安全设施、防护设备、应急救援装备，设置安全警示标志等，确定专人现场监护，统一指挥、监督和协调；</w:t>
      </w:r>
    </w:p>
    <w:p w14:paraId="1455EB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73"/>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（三）危险作业前，作业现场负责人</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要</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对作业人员健康状况、资质证书、劳动防护用品佩戴及现场安全环境、设备设施状态、安全警示标志等进行全面核查</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向作业人员进行安全技术交底，说明危险因素、作业安全要求和应急措施，双方签字确认；</w:t>
      </w:r>
    </w:p>
    <w:p w14:paraId="2C48CA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（四）企业进行危险作业时，发现直接危及人身安全的紧急情况时，应当采取应急措施，停止作业，撤出作业人员；</w:t>
      </w:r>
    </w:p>
    <w:p w14:paraId="5CF0B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五）危险</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作业结束后</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，相关人员要</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及时恢复临时拆除或停用的安全设施，清点作业人员，清理作业现场</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14:paraId="056CFA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（六）危险作业管理的其他规定。</w:t>
      </w:r>
    </w:p>
    <w:p w14:paraId="2FB50F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九</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不得将生产经营项目、场所、设备发包或者出租给不具备安全生产条件或者相应资质的单位或者个人。</w:t>
      </w:r>
    </w:p>
    <w:p w14:paraId="7607E2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生产经营项目、场所发包或者出租给其他单位的，</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应当与承包单位、承租单位签订专门的安全生产管理协议，或者在承包合同、租赁合同中约定各自的安全生产管理职责;</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对承包单位、承租单位的安全生产工作统一协调、管理，定期进行安全检查，发现安全问题的，应当及时督促整改。</w:t>
      </w:r>
    </w:p>
    <w:p w14:paraId="76285D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企业应对所有相关方或者进入同一作业区的相关方进行统一安全管理，明确各自的安全生产</w:t>
      </w:r>
      <w:r>
        <w:rPr>
          <w:rFonts w:hint="eastAsia" w:ascii="仿宋_GB2312" w:hAnsi="仿宋_GB2312" w:eastAsia="仿宋_GB2312" w:cs="仿宋_GB2312"/>
          <w:color w:val="000000" w:themeColor="text1"/>
          <w:sz w:val="32"/>
          <w:szCs w:val="32"/>
          <w:lang w:eastAsia="zh-CN"/>
          <w14:textFill>
            <w14:solidFill>
              <w14:schemeClr w14:val="tx1"/>
            </w14:solidFill>
          </w14:textFill>
        </w:rPr>
        <w:t>职责</w:t>
      </w:r>
      <w:r>
        <w:rPr>
          <w:rFonts w:hint="eastAsia" w:ascii="仿宋_GB2312" w:hAnsi="仿宋_GB2312" w:eastAsia="仿宋_GB2312" w:cs="仿宋_GB2312"/>
          <w:color w:val="000000" w:themeColor="text1"/>
          <w:sz w:val="32"/>
          <w:szCs w:val="32"/>
          <w14:textFill>
            <w14:solidFill>
              <w14:schemeClr w14:val="tx1"/>
            </w14:solidFill>
          </w14:textFill>
        </w:rPr>
        <w:t>和采取的有效措施，并指定专人进行协调和监督。</w:t>
      </w:r>
    </w:p>
    <w:p w14:paraId="25CB274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2"/>
          <w:szCs w:val="32"/>
          <w:shd w:val="clear" w:fill="FFFFFF"/>
          <w:lang w:eastAsia="zh-CN"/>
          <w14:textFill>
            <w14:solidFill>
              <w14:schemeClr w14:val="tx1"/>
            </w14:solidFill>
          </w14:textFill>
        </w:rPr>
        <w:t>第</w:t>
      </w:r>
      <w:r>
        <w:rPr>
          <w:rFonts w:hint="eastAsia" w:ascii="仿宋_GB2312" w:hAnsi="仿宋_GB2312" w:eastAsia="仿宋_GB2312" w:cs="仿宋_GB2312"/>
          <w:b/>
          <w:bCs/>
          <w:i w:val="0"/>
          <w:caps w:val="0"/>
          <w:color w:val="000000" w:themeColor="text1"/>
          <w:spacing w:val="0"/>
          <w:sz w:val="32"/>
          <w:szCs w:val="32"/>
          <w:shd w:val="clear" w:fill="FFFFFF"/>
          <w:lang w:val="en-US" w:eastAsia="zh-CN"/>
          <w14:textFill>
            <w14:solidFill>
              <w14:schemeClr w14:val="tx1"/>
            </w14:solidFill>
          </w14:textFill>
        </w:rPr>
        <w:t>二十</w:t>
      </w:r>
      <w:r>
        <w:rPr>
          <w:rFonts w:hint="eastAsia" w:ascii="仿宋_GB2312" w:hAnsi="仿宋_GB2312" w:eastAsia="仿宋_GB2312" w:cs="仿宋_GB2312"/>
          <w:b/>
          <w:bCs/>
          <w:i w:val="0"/>
          <w:caps w:val="0"/>
          <w:color w:val="000000" w:themeColor="text1"/>
          <w:spacing w:val="0"/>
          <w:sz w:val="32"/>
          <w:szCs w:val="32"/>
          <w:shd w:val="clear" w:fill="FFFFFF"/>
          <w:lang w:eastAsia="zh-CN"/>
          <w14:textFill>
            <w14:solidFill>
              <w14:schemeClr w14:val="tx1"/>
            </w14:solidFill>
          </w14:textFill>
        </w:rPr>
        <w:t>条</w:t>
      </w:r>
      <w:r>
        <w:rPr>
          <w:rFonts w:hint="eastAsia" w:ascii="仿宋_GB2312" w:hAnsi="仿宋_GB2312" w:eastAsia="仿宋_GB2312" w:cs="仿宋_GB2312"/>
          <w:b/>
          <w:bCs/>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企业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应当在有较大危险因素的生产经营场所和有关设施、设备上，设置明显的安全警示标志。</w:t>
      </w:r>
    </w:p>
    <w:p w14:paraId="2E6C433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2"/>
          <w:szCs w:val="32"/>
          <w:shd w:val="clear" w:fill="FFFFFF"/>
          <w:lang w:eastAsia="zh-CN"/>
          <w14:textFill>
            <w14:solidFill>
              <w14:schemeClr w14:val="tx1"/>
            </w14:solidFill>
          </w14:textFill>
        </w:rPr>
        <w:t>第</w:t>
      </w:r>
      <w:r>
        <w:rPr>
          <w:rFonts w:hint="eastAsia" w:ascii="仿宋_GB2312" w:hAnsi="仿宋_GB2312" w:eastAsia="仿宋_GB2312" w:cs="仿宋_GB2312"/>
          <w:b/>
          <w:bCs/>
          <w:i w:val="0"/>
          <w:caps w:val="0"/>
          <w:color w:val="000000" w:themeColor="text1"/>
          <w:spacing w:val="0"/>
          <w:sz w:val="32"/>
          <w:szCs w:val="32"/>
          <w:shd w:val="clear" w:fill="FFFFFF"/>
          <w:lang w:val="en-US" w:eastAsia="zh-CN"/>
          <w14:textFill>
            <w14:solidFill>
              <w14:schemeClr w14:val="tx1"/>
            </w14:solidFill>
          </w14:textFill>
        </w:rPr>
        <w:t>二十一</w:t>
      </w:r>
      <w:r>
        <w:rPr>
          <w:rFonts w:hint="eastAsia" w:ascii="仿宋_GB2312" w:hAnsi="仿宋_GB2312" w:eastAsia="仿宋_GB2312" w:cs="仿宋_GB2312"/>
          <w:b/>
          <w:bCs/>
          <w:i w:val="0"/>
          <w:caps w:val="0"/>
          <w:color w:val="000000" w:themeColor="text1"/>
          <w:spacing w:val="0"/>
          <w:sz w:val="32"/>
          <w:szCs w:val="32"/>
          <w:shd w:val="clear" w:fill="FFFFFF"/>
          <w:lang w:eastAsia="zh-CN"/>
          <w14:textFill>
            <w14:solidFill>
              <w14:schemeClr w14:val="tx1"/>
            </w14:solidFill>
          </w14:textFill>
        </w:rPr>
        <w:t>条</w:t>
      </w:r>
      <w:r>
        <w:rPr>
          <w:rStyle w:val="6"/>
          <w:rFonts w:hint="eastAsia" w:ascii="仿宋_GB2312" w:hAnsi="仿宋_GB2312" w:eastAsia="仿宋_GB2312" w:cs="仿宋_GB2312"/>
          <w:color w:val="000000" w:themeColor="text1"/>
          <w:spacing w:val="3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企业应当对重大危险源采取下列措施：</w:t>
      </w:r>
    </w:p>
    <w:p w14:paraId="5FCBD81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（一）建立运行管理档案，对运行情况进行全程监控；</w:t>
      </w:r>
    </w:p>
    <w:p w14:paraId="3ADE893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（二）定期对设施、设备进行检测、检验；</w:t>
      </w:r>
    </w:p>
    <w:p w14:paraId="0F5024A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（三）定期进行辨识和安全评估；</w:t>
      </w:r>
    </w:p>
    <w:p w14:paraId="0259972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（四）定期检查安全状态；</w:t>
      </w:r>
    </w:p>
    <w:p w14:paraId="11DB88C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（五）制定应急救援预案，定期组织应急救援演练；</w:t>
      </w:r>
    </w:p>
    <w:p w14:paraId="27CB2A8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（六）在明显位置设置安全警示标志，载明重大危险源、危险物质、数量、危险危害特性、应急措施等内容，告知从业人员和相关人员在紧急情况下应当采取的应急措施。</w:t>
      </w:r>
    </w:p>
    <w:p w14:paraId="5F646D6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企业应当按照国家有关规定，办理重大危险源及有关安全措施、应急措施备案，定期向负有安全生产监督管理职责的部门报告重大危险源的监控措施实施情况。发生紧急情况时，应当立即报告负有安全生产监督管理职责的部门。</w:t>
      </w:r>
    </w:p>
    <w:p w14:paraId="1B509D1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2"/>
          <w:szCs w:val="32"/>
          <w:shd w:val="clear" w:fill="FFFFFF"/>
          <w:lang w:eastAsia="zh-CN"/>
          <w14:textFill>
            <w14:solidFill>
              <w14:schemeClr w14:val="tx1"/>
            </w14:solidFill>
          </w14:textFill>
        </w:rPr>
        <w:t>第</w:t>
      </w:r>
      <w:r>
        <w:rPr>
          <w:rFonts w:hint="eastAsia" w:ascii="仿宋_GB2312" w:hAnsi="仿宋_GB2312" w:eastAsia="仿宋_GB2312" w:cs="仿宋_GB2312"/>
          <w:b/>
          <w:bCs/>
          <w:i w:val="0"/>
          <w:caps w:val="0"/>
          <w:color w:val="000000" w:themeColor="text1"/>
          <w:spacing w:val="0"/>
          <w:sz w:val="32"/>
          <w:szCs w:val="32"/>
          <w:shd w:val="clear" w:fill="FFFFFF"/>
          <w:lang w:val="en-US" w:eastAsia="zh-CN"/>
          <w14:textFill>
            <w14:solidFill>
              <w14:schemeClr w14:val="tx1"/>
            </w14:solidFill>
          </w14:textFill>
        </w:rPr>
        <w:t>二十二</w:t>
      </w:r>
      <w:r>
        <w:rPr>
          <w:rFonts w:hint="eastAsia" w:ascii="仿宋_GB2312" w:hAnsi="仿宋_GB2312" w:eastAsia="仿宋_GB2312" w:cs="仿宋_GB2312"/>
          <w:b/>
          <w:bCs/>
          <w:i w:val="0"/>
          <w:caps w:val="0"/>
          <w:color w:val="000000" w:themeColor="text1"/>
          <w:spacing w:val="0"/>
          <w:sz w:val="32"/>
          <w:szCs w:val="32"/>
          <w:shd w:val="clear" w:fill="FFFFFF"/>
          <w:lang w:eastAsia="zh-CN"/>
          <w14:textFill>
            <w14:solidFill>
              <w14:schemeClr w14:val="tx1"/>
            </w14:solidFill>
          </w14:textFill>
        </w:rPr>
        <w:t>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企</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业储存、使用危险物品的车间、仓库不得与员工宿舍在同一座建筑物内，并应当与员工宿舍保持安全距离。企业生产经营场所和员工宿舍应当设有符合紧急疏散要求、标志明显、保持畅通的出口、疏散通道。禁止占用、锁闭、封堵生产经营场所或者员工宿舍的出口、疏散通道。危险化学品储存和使用单位，应当装配安全检测、监控和报警系统，进行实时监管；涉及易燃易爆、有毒有害气体的储存装置应当装备易燃易爆、有毒有害气体泄漏报警系统。</w:t>
      </w:r>
    </w:p>
    <w:p w14:paraId="0B18504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第二十三条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企业应根据本单位的事故风险特点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编制</w:t>
      </w: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生产安全事故应急预案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并及时</w:t>
      </w:r>
      <w:r>
        <w:rPr>
          <w:rFonts w:hint="eastAsia" w:ascii="仿宋_GB2312" w:hAnsi="仿宋_GB2312" w:eastAsia="仿宋_GB2312" w:cs="仿宋_GB2312"/>
          <w:color w:val="000000" w:themeColor="text1"/>
          <w:sz w:val="32"/>
          <w:szCs w:val="32"/>
          <w:highlight w:val="none"/>
          <w14:textFill>
            <w14:solidFill>
              <w14:schemeClr w14:val="tx1"/>
            </w14:solidFill>
          </w14:textFill>
        </w:rPr>
        <w:t>修订和完善。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14:textFill>
            <w14:solidFill>
              <w14:schemeClr w14:val="tx1"/>
            </w14:solidFill>
          </w14:textFill>
        </w:rPr>
        <w:t>应急预案、应急知识、自救互救和避险逃生技能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进行</w:t>
      </w:r>
      <w:r>
        <w:rPr>
          <w:rFonts w:hint="eastAsia" w:ascii="仿宋_GB2312" w:hAnsi="仿宋_GB2312" w:eastAsia="仿宋_GB2312" w:cs="仿宋_GB2312"/>
          <w:color w:val="000000" w:themeColor="text1"/>
          <w:sz w:val="32"/>
          <w:szCs w:val="32"/>
          <w:highlight w:val="none"/>
          <w14:textFill>
            <w14:solidFill>
              <w14:schemeClr w14:val="tx1"/>
            </w14:solidFill>
          </w14:textFill>
        </w:rPr>
        <w:t>培训，使有关人员了解应急预案内容，熟悉应急职责、应急处置程序和措施。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配备应急</w:t>
      </w:r>
      <w:r>
        <w:rPr>
          <w:rFonts w:hint="eastAsia" w:ascii="仿宋_GB2312" w:hAnsi="仿宋_GB2312" w:eastAsia="仿宋_GB2312" w:cs="仿宋_GB2312"/>
          <w:color w:val="000000" w:themeColor="text1"/>
          <w:sz w:val="32"/>
          <w:szCs w:val="32"/>
          <w:highlight w:val="none"/>
          <w14:textFill>
            <w14:solidFill>
              <w14:schemeClr w14:val="tx1"/>
            </w14:solidFill>
          </w14:textFill>
        </w:rPr>
        <w:t>物资及装备，并定期检测和维护。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应每年至少组织一次综合应急预案演练或者专项应急预案演练，每半年至少组织一次现场处置方案演练。</w:t>
      </w:r>
    </w:p>
    <w:p w14:paraId="49F9B24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第二十四条  </w:t>
      </w:r>
      <w:r>
        <w:rPr>
          <w:rFonts w:hint="eastAsia" w:ascii="仿宋_GB2312" w:hAnsi="仿宋_GB2312" w:eastAsia="仿宋_GB2312" w:cs="仿宋_GB2312"/>
          <w:i w:val="0"/>
          <w:caps w:val="0"/>
          <w:color w:val="000000" w:themeColor="text1"/>
          <w:spacing w:val="0"/>
          <w:sz w:val="32"/>
          <w:szCs w:val="32"/>
          <w:highlight w:val="none"/>
          <w:shd w:val="clear" w:fill="FFFFFF"/>
          <w:lang w:eastAsia="zh-CN"/>
          <w14:textFill>
            <w14:solidFill>
              <w14:schemeClr w14:val="tx1"/>
            </w14:solidFill>
          </w14:textFill>
        </w:rPr>
        <w:t>企业</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必须为从业人员提供符合国家标准或者行业标准的劳动防护用</w:t>
      </w:r>
      <w:r>
        <w:rPr>
          <w:rFonts w:hint="eastAsia" w:ascii="仿宋_GB2312" w:hAnsi="仿宋_GB2312" w:eastAsia="仿宋_GB2312" w:cs="仿宋_GB2312"/>
          <w:color w:val="000000" w:themeColor="text1"/>
          <w:sz w:val="32"/>
          <w:szCs w:val="32"/>
          <w:highlight w:val="none"/>
          <w14:textFill>
            <w14:solidFill>
              <w14:schemeClr w14:val="tx1"/>
            </w14:solidFill>
          </w14:textFill>
        </w:rPr>
        <w:t>品，并监督、教育从业人员按照使用规则佩戴、使用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不得以货币形式或者其他物品替代。</w:t>
      </w:r>
    </w:p>
    <w:p w14:paraId="40F9C2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第二十</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生产安全事故发生后，事故现场有关人员应当立即向企业负责人报告；企业负责人接到报告后，应当立即启动应急预案，科学组织救援，并在接报后1小时内报告事故发生地县（市、区）应急管理部门和负有安全生产监督管理职责的有关部门。</w:t>
      </w:r>
    </w:p>
    <w:p w14:paraId="158B64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i w:val="0"/>
          <w:caps w:val="0"/>
          <w:color w:val="000000" w:themeColor="text1"/>
          <w:spacing w:val="0"/>
          <w:sz w:val="32"/>
          <w:szCs w:val="32"/>
          <w:highlight w:val="none"/>
          <w:shd w:val="clear" w:fill="FFFFFF"/>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条</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本指南自下发之日起实施。</w:t>
      </w:r>
    </w:p>
    <w:p w14:paraId="5ABC5110">
      <w:pPr>
        <w:pStyle w:val="2"/>
        <w:keepNext w:val="0"/>
        <w:keepLines w:val="0"/>
        <w:pageBreakBefore w:val="0"/>
        <w:widowControl w:val="0"/>
        <w:wordWrap/>
        <w:topLinePunct w:val="0"/>
        <w:bidi w:val="0"/>
        <w:spacing w:line="400" w:lineRule="exact"/>
        <w:jc w:val="both"/>
        <w:rPr>
          <w:rFonts w:hint="eastAsia" w:ascii="仿宋" w:hAnsi="仿宋" w:eastAsia="仿宋" w:cs="仿宋"/>
          <w:b/>
          <w:bCs/>
          <w:color w:val="000000" w:themeColor="text1"/>
          <w:sz w:val="32"/>
          <w:szCs w:val="32"/>
          <w:lang w:val="en-US" w:eastAsia="zh-CN"/>
          <w14:textFill>
            <w14:solidFill>
              <w14:schemeClr w14:val="tx1"/>
            </w14:solidFill>
          </w14:textFill>
        </w:rPr>
      </w:pPr>
    </w:p>
    <w:p w14:paraId="4DF0F513">
      <w:pPr>
        <w:pStyle w:val="2"/>
        <w:keepNext w:val="0"/>
        <w:keepLines w:val="0"/>
        <w:pageBreakBefore w:val="0"/>
        <w:widowControl w:val="0"/>
        <w:wordWrap/>
        <w:topLinePunct w:val="0"/>
        <w:bidi w:val="0"/>
        <w:spacing w:line="400" w:lineRule="exact"/>
        <w:jc w:val="both"/>
        <w:rPr>
          <w:rFonts w:hint="eastAsia" w:ascii="仿宋" w:hAnsi="仿宋" w:eastAsia="仿宋" w:cs="仿宋"/>
          <w:b/>
          <w:bCs/>
          <w:color w:val="000000" w:themeColor="text1"/>
          <w:sz w:val="32"/>
          <w:szCs w:val="32"/>
          <w:lang w:val="en-US" w:eastAsia="zh-CN"/>
          <w14:textFill>
            <w14:solidFill>
              <w14:schemeClr w14:val="tx1"/>
            </w14:solidFill>
          </w14:textFill>
        </w:rPr>
      </w:pPr>
    </w:p>
    <w:p w14:paraId="496D83DA">
      <w:pPr>
        <w:pStyle w:val="2"/>
        <w:keepNext w:val="0"/>
        <w:keepLines w:val="0"/>
        <w:pageBreakBefore w:val="0"/>
        <w:widowControl w:val="0"/>
        <w:wordWrap/>
        <w:topLinePunct w:val="0"/>
        <w:bidi w:val="0"/>
        <w:spacing w:line="400" w:lineRule="exact"/>
        <w:jc w:val="both"/>
        <w:rPr>
          <w:rFonts w:hint="eastAsia" w:ascii="仿宋" w:hAnsi="仿宋" w:eastAsia="仿宋" w:cs="仿宋"/>
          <w:b/>
          <w:bCs/>
          <w:color w:val="000000" w:themeColor="text1"/>
          <w:sz w:val="32"/>
          <w:szCs w:val="32"/>
          <w:lang w:val="en-US" w:eastAsia="zh-CN"/>
          <w14:textFill>
            <w14:solidFill>
              <w14:schemeClr w14:val="tx1"/>
            </w14:solidFill>
          </w14:textFill>
        </w:rPr>
      </w:pPr>
    </w:p>
    <w:p w14:paraId="30F67D31">
      <w:pPr>
        <w:pStyle w:val="2"/>
        <w:keepNext w:val="0"/>
        <w:keepLines w:val="0"/>
        <w:pageBreakBefore w:val="0"/>
        <w:widowControl w:val="0"/>
        <w:wordWrap/>
        <w:topLinePunct w:val="0"/>
        <w:bidi w:val="0"/>
        <w:spacing w:line="400" w:lineRule="exact"/>
        <w:jc w:val="both"/>
        <w:rPr>
          <w:rFonts w:hint="eastAsia" w:ascii="仿宋" w:hAnsi="仿宋" w:eastAsia="仿宋" w:cs="仿宋"/>
          <w:b/>
          <w:bCs/>
          <w:color w:val="000000" w:themeColor="text1"/>
          <w:sz w:val="32"/>
          <w:szCs w:val="32"/>
          <w:lang w:val="en-US" w:eastAsia="zh-CN"/>
          <w14:textFill>
            <w14:solidFill>
              <w14:schemeClr w14:val="tx1"/>
            </w14:solidFill>
          </w14:textFill>
        </w:rPr>
      </w:pPr>
    </w:p>
    <w:p w14:paraId="09BF8638">
      <w:pPr>
        <w:pStyle w:val="2"/>
        <w:keepNext w:val="0"/>
        <w:keepLines w:val="0"/>
        <w:pageBreakBefore w:val="0"/>
        <w:widowControl w:val="0"/>
        <w:wordWrap/>
        <w:topLinePunct w:val="0"/>
        <w:bidi w:val="0"/>
        <w:spacing w:line="400" w:lineRule="exact"/>
        <w:jc w:val="both"/>
        <w:rPr>
          <w:rFonts w:hint="eastAsia" w:ascii="仿宋" w:hAnsi="仿宋" w:eastAsia="仿宋" w:cs="仿宋"/>
          <w:b/>
          <w:bCs/>
          <w:color w:val="000000" w:themeColor="text1"/>
          <w:sz w:val="32"/>
          <w:szCs w:val="32"/>
          <w:lang w:val="en-US" w:eastAsia="zh-CN"/>
          <w14:textFill>
            <w14:solidFill>
              <w14:schemeClr w14:val="tx1"/>
            </w14:solidFill>
          </w14:textFill>
        </w:rPr>
      </w:pPr>
    </w:p>
    <w:p w14:paraId="4DF42BF7">
      <w:pPr>
        <w:pStyle w:val="2"/>
        <w:keepNext w:val="0"/>
        <w:keepLines w:val="0"/>
        <w:pageBreakBefore w:val="0"/>
        <w:widowControl w:val="0"/>
        <w:wordWrap/>
        <w:topLinePunct w:val="0"/>
        <w:bidi w:val="0"/>
        <w:spacing w:line="400" w:lineRule="exact"/>
        <w:jc w:val="both"/>
        <w:rPr>
          <w:rFonts w:hint="eastAsia" w:ascii="仿宋" w:hAnsi="仿宋" w:eastAsia="仿宋" w:cs="仿宋"/>
          <w:b/>
          <w:bCs/>
          <w:color w:val="000000" w:themeColor="text1"/>
          <w:sz w:val="32"/>
          <w:szCs w:val="32"/>
          <w:lang w:val="en-US" w:eastAsia="zh-CN"/>
          <w14:textFill>
            <w14:solidFill>
              <w14:schemeClr w14:val="tx1"/>
            </w14:solidFill>
          </w14:textFill>
        </w:rPr>
      </w:pPr>
    </w:p>
    <w:p w14:paraId="01C0EF79">
      <w:pPr>
        <w:pStyle w:val="2"/>
        <w:keepNext w:val="0"/>
        <w:keepLines w:val="0"/>
        <w:pageBreakBefore w:val="0"/>
        <w:widowControl w:val="0"/>
        <w:wordWrap/>
        <w:topLinePunct w:val="0"/>
        <w:bidi w:val="0"/>
        <w:spacing w:line="400" w:lineRule="exact"/>
        <w:jc w:val="both"/>
        <w:rPr>
          <w:rFonts w:hint="eastAsia" w:ascii="仿宋" w:hAnsi="仿宋" w:eastAsia="仿宋" w:cs="仿宋"/>
          <w:b/>
          <w:bCs/>
          <w:color w:val="000000" w:themeColor="text1"/>
          <w:sz w:val="32"/>
          <w:szCs w:val="32"/>
          <w:lang w:val="en-US" w:eastAsia="zh-CN"/>
          <w14:textFill>
            <w14:solidFill>
              <w14:schemeClr w14:val="tx1"/>
            </w14:solidFill>
          </w14:textFill>
        </w:rPr>
      </w:pPr>
    </w:p>
    <w:p w14:paraId="35CB5C80">
      <w:pPr>
        <w:pStyle w:val="2"/>
        <w:keepNext w:val="0"/>
        <w:keepLines w:val="0"/>
        <w:pageBreakBefore w:val="0"/>
        <w:widowControl w:val="0"/>
        <w:wordWrap/>
        <w:topLinePunct w:val="0"/>
        <w:bidi w:val="0"/>
        <w:spacing w:line="400" w:lineRule="exact"/>
        <w:jc w:val="both"/>
        <w:rPr>
          <w:rFonts w:hint="eastAsia" w:ascii="仿宋" w:hAnsi="仿宋" w:eastAsia="仿宋" w:cs="仿宋"/>
          <w:b/>
          <w:bCs/>
          <w:color w:val="000000" w:themeColor="text1"/>
          <w:sz w:val="32"/>
          <w:szCs w:val="32"/>
          <w:lang w:val="en-US" w:eastAsia="zh-CN"/>
          <w14:textFill>
            <w14:solidFill>
              <w14:schemeClr w14:val="tx1"/>
            </w14:solidFill>
          </w14:textFill>
        </w:rPr>
      </w:pPr>
    </w:p>
    <w:p w14:paraId="29F76C81">
      <w:pPr>
        <w:pStyle w:val="2"/>
        <w:keepNext w:val="0"/>
        <w:keepLines w:val="0"/>
        <w:pageBreakBefore w:val="0"/>
        <w:widowControl w:val="0"/>
        <w:wordWrap/>
        <w:topLinePunct w:val="0"/>
        <w:bidi w:val="0"/>
        <w:spacing w:line="400" w:lineRule="exact"/>
        <w:jc w:val="both"/>
        <w:rPr>
          <w:rFonts w:hint="eastAsia" w:ascii="仿宋" w:hAnsi="仿宋" w:eastAsia="仿宋" w:cs="仿宋"/>
          <w:b/>
          <w:bCs/>
          <w:color w:val="000000" w:themeColor="text1"/>
          <w:sz w:val="32"/>
          <w:szCs w:val="32"/>
          <w:lang w:val="en-US" w:eastAsia="zh-CN"/>
          <w14:textFill>
            <w14:solidFill>
              <w14:schemeClr w14:val="tx1"/>
            </w14:solidFill>
          </w14:textFill>
        </w:rPr>
      </w:pPr>
    </w:p>
    <w:p w14:paraId="17948AE0">
      <w:pPr>
        <w:pStyle w:val="2"/>
        <w:keepNext w:val="0"/>
        <w:keepLines w:val="0"/>
        <w:pageBreakBefore w:val="0"/>
        <w:widowControl w:val="0"/>
        <w:wordWrap/>
        <w:topLinePunct w:val="0"/>
        <w:bidi w:val="0"/>
        <w:spacing w:line="400" w:lineRule="exact"/>
        <w:jc w:val="both"/>
        <w:rPr>
          <w:rFonts w:hint="eastAsia" w:ascii="仿宋" w:hAnsi="仿宋" w:eastAsia="仿宋" w:cs="仿宋"/>
          <w:b/>
          <w:bCs/>
          <w:color w:val="000000" w:themeColor="text1"/>
          <w:sz w:val="32"/>
          <w:szCs w:val="32"/>
          <w:lang w:val="en-US" w:eastAsia="zh-CN"/>
          <w14:textFill>
            <w14:solidFill>
              <w14:schemeClr w14:val="tx1"/>
            </w14:solidFill>
          </w14:textFill>
        </w:rPr>
      </w:pPr>
    </w:p>
    <w:p w14:paraId="0EACDEFE">
      <w:pPr>
        <w:pStyle w:val="2"/>
        <w:keepNext w:val="0"/>
        <w:keepLines w:val="0"/>
        <w:pageBreakBefore w:val="0"/>
        <w:widowControl w:val="0"/>
        <w:wordWrap/>
        <w:topLinePunct w:val="0"/>
        <w:bidi w:val="0"/>
        <w:spacing w:line="400" w:lineRule="exact"/>
        <w:jc w:val="both"/>
        <w:rPr>
          <w:rFonts w:hint="eastAsia" w:ascii="仿宋" w:hAnsi="仿宋" w:eastAsia="仿宋" w:cs="仿宋"/>
          <w:b/>
          <w:bCs/>
          <w:color w:val="000000" w:themeColor="text1"/>
          <w:sz w:val="32"/>
          <w:szCs w:val="32"/>
          <w:lang w:val="en-US" w:eastAsia="zh-CN"/>
          <w14:textFill>
            <w14:solidFill>
              <w14:schemeClr w14:val="tx1"/>
            </w14:solidFill>
          </w14:textFill>
        </w:rPr>
      </w:pPr>
    </w:p>
    <w:p w14:paraId="4174B0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4F26A3"/>
    <w:rsid w:val="EF4F2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Normal (Web)"/>
    <w:basedOn w:val="1"/>
    <w:qFormat/>
    <w:uiPriority w:val="0"/>
    <w:pPr>
      <w:spacing w:beforeAutospacing="1" w:afterAutospacing="1"/>
    </w:pPr>
    <w:rPr>
      <w:rFonts w:cs="Times New Roman"/>
      <w:sz w:val="24"/>
      <w:lang w:eastAsia="zh-CN"/>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2025-10-31T16:07:00Z</dcterms:created>
  <dc:creator>高幸</dc:creator>
  <cp:lastModifiedBy>高幸</cp:lastModifiedBy>
  <dcterms:modified xsi:type="dcterms:W3CDTF">2025-10-31T16:08:04Z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986FC891592067EB556E046987180AEF_41</vt:lpwstr>
  </property>
</Properties>
</file>