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D4BD0">
      <w:pPr>
        <w:spacing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51FAE76F">
      <w:pPr>
        <w:pStyle w:val="5"/>
        <w:spacing w:line="4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</w:pPr>
    </w:p>
    <w:p w14:paraId="4ABD706B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延期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5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p w14:paraId="0B125DA0">
      <w:pPr>
        <w:spacing w:line="240" w:lineRule="exact"/>
        <w:rPr>
          <w:rFonts w:hint="eastAsia"/>
        </w:rPr>
      </w:pPr>
    </w:p>
    <w:tbl>
      <w:tblPr>
        <w:tblStyle w:val="7"/>
        <w:tblW w:w="14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306"/>
        <w:gridCol w:w="3423"/>
        <w:gridCol w:w="1241"/>
        <w:gridCol w:w="2166"/>
        <w:gridCol w:w="2416"/>
        <w:gridCol w:w="2098"/>
      </w:tblGrid>
      <w:tr w14:paraId="69420B5B">
        <w:trPr>
          <w:trHeight w:val="114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B8CD8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79491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5CF65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E3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5042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2C4A7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90558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A93A4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7619A46C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098BD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9243F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陕西旬阳鑫源矿业有限责任公司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3CB48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陕西省安康市旬阳县构元镇构元村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A1105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李军民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3BE77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〔2025〕0058号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EA1EC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火烧沟尾矿库运营（总坝高85米，配套选厂能力500吨/日）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101AF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2025年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日至2028年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B42CA81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69368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9BDBB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商洛市宇隆矿业</w:t>
            </w:r>
          </w:p>
          <w:p w14:paraId="59C99FD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F5944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陕西省商洛市商南县城关街道办</w:t>
            </w:r>
          </w:p>
          <w:p w14:paraId="278F05F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上河社区北环大道北500米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82493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余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B2721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〔2025〕0002号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68CEA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龙王沟大理石矿东采区1#区块K1矿体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开采标高990m-965m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DEE3B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2025年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日至2028年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EDD6970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B7093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F27A6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陕西有色建设</w:t>
            </w:r>
          </w:p>
          <w:p w14:paraId="75A9636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3985F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陕西省西安市雁塔区西影路289号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AD09C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史向庆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EE0A5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〔2025〕0051号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40716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金属非金属矿山采掘</w:t>
            </w:r>
          </w:p>
          <w:p w14:paraId="3E032FB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施工作业（不从事爆破</w:t>
            </w:r>
          </w:p>
          <w:p w14:paraId="1970A78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作业）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D9A6D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2025年11月5日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2028年11月4日</w:t>
            </w:r>
          </w:p>
        </w:tc>
      </w:tr>
      <w:tr w14:paraId="71B52649">
        <w:trPr>
          <w:trHeight w:val="92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E8F2E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F7CA6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eastAsia="zh-CN"/>
              </w:rPr>
              <w:t>咸阳西北有色七一二</w:t>
            </w:r>
          </w:p>
          <w:p w14:paraId="1A6761A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eastAsia="zh-CN"/>
              </w:rPr>
              <w:t>总队有限公司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66B13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陕西省咸阳市秦都区胭脂路与</w:t>
            </w:r>
          </w:p>
          <w:p w14:paraId="6F5427C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香柏路十字西北角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B7E08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曾小鹏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A71E6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〔2025〕0035号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24275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金属非金属矿产资源</w:t>
            </w:r>
          </w:p>
          <w:p w14:paraId="498EB57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地质钻探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不从事爆破</w:t>
            </w:r>
          </w:p>
          <w:p w14:paraId="3B39177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作业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77768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2025年11月5日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2028年11月4日</w:t>
            </w:r>
          </w:p>
        </w:tc>
      </w:tr>
      <w:tr w14:paraId="51E9E364">
        <w:trPr>
          <w:trHeight w:val="973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AF84B4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BCD2C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eastAsia="zh-CN"/>
              </w:rPr>
              <w:t>宝鸡西北有色七一七</w:t>
            </w:r>
          </w:p>
          <w:p w14:paraId="5EB16DF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eastAsia="zh-CN"/>
              </w:rPr>
              <w:t>总队有限公司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84E5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陕西省宝鸡市金台区大庆路16号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93DBD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王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轩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979C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〔2025〕0036号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D34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金属非金属矿产资源</w:t>
            </w:r>
          </w:p>
          <w:p w14:paraId="5E4F4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地质钻探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不从事爆破</w:t>
            </w:r>
          </w:p>
          <w:p w14:paraId="4758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作业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58031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2025年11月5日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2028年11月4日</w:t>
            </w:r>
          </w:p>
        </w:tc>
      </w:tr>
    </w:tbl>
    <w:p w14:paraId="1E25DE7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97E311"/>
    <w:rsid w:val="FA97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2025-11-20T15:16:00Z</dcterms:created>
  <dc:creator>高幸</dc:creator>
  <cp:lastModifiedBy>高幸</cp:lastModifiedBy>
  <dcterms:modified xsi:type="dcterms:W3CDTF">2025-11-20T15:17:50Z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6C27D6AC8505398C5EC01E690C86E14C_41</vt:lpwstr>
  </property>
</Properties>
</file>