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FCF8F">
      <w:pPr>
        <w:keepNext w:val="0"/>
        <w:keepLines w:val="0"/>
        <w:pageBreakBefore w:val="0"/>
        <w:widowControl w:val="0"/>
        <w:kinsoku/>
        <w:wordWrap/>
        <w:overflowPunct/>
        <w:topLinePunct w:val="0"/>
        <w:autoSpaceDE/>
        <w:autoSpaceDN/>
        <w:bidi w:val="0"/>
        <w:adjustRightInd/>
        <w:snapToGrid/>
        <w:spacing w:line="600" w:lineRule="exact"/>
        <w:ind w:left="-414" w:leftChars="-133" w:firstLine="477" w:firstLineChars="153"/>
        <w:textAlignment w:val="auto"/>
        <w:outlineLvl w:val="9"/>
        <w:rPr>
          <w:rFonts w:ascii="黑体" w:eastAsia="黑体"/>
          <w:color w:val="000000"/>
        </w:rPr>
      </w:pPr>
      <w:r>
        <w:rPr>
          <w:rFonts w:ascii="黑体" w:eastAsia="黑体"/>
          <w:color w:val="000000"/>
        </w:rPr>
        <w:t>附件</w:t>
      </w:r>
    </w:p>
    <w:p w14:paraId="3AF9E1F1">
      <w:pPr>
        <w:pStyle w:val="2"/>
        <w:spacing w:after="0" w:line="600" w:lineRule="exact"/>
      </w:pPr>
      <w:bookmarkStart w:id="0" w:name="_GoBack"/>
      <w:bookmarkEnd w:id="0"/>
    </w:p>
    <w:p w14:paraId="1A3566DF">
      <w:pPr>
        <w:keepNext w:val="0"/>
        <w:keepLines w:val="0"/>
        <w:pageBreakBefore w:val="0"/>
        <w:widowControl w:val="0"/>
        <w:kinsoku/>
        <w:wordWrap/>
        <w:overflowPunct/>
        <w:topLinePunct w:val="0"/>
        <w:autoSpaceDE/>
        <w:autoSpaceDN/>
        <w:bidi w:val="0"/>
        <w:adjustRightInd/>
        <w:snapToGrid/>
        <w:spacing w:line="600" w:lineRule="exact"/>
        <w:ind w:left="0" w:firstLine="0"/>
        <w:jc w:val="center"/>
        <w:textAlignment w:val="auto"/>
        <w:outlineLvl w:val="9"/>
        <w:rPr>
          <w:rFonts w:hint="eastAsia" w:ascii="方正小标宋简体" w:eastAsia="方正小标宋简体"/>
          <w:color w:val="000000"/>
          <w:sz w:val="44"/>
          <w:szCs w:val="44"/>
        </w:rPr>
      </w:pPr>
      <w:r>
        <w:rPr>
          <w:rFonts w:hint="eastAsia" w:ascii="方正小标宋简体" w:eastAsia="方正小标宋简体"/>
          <w:color w:val="000000"/>
          <w:sz w:val="44"/>
          <w:szCs w:val="44"/>
        </w:rPr>
        <w:t>省级挂牌督办安全</w:t>
      </w:r>
      <w:r>
        <w:rPr>
          <w:rFonts w:hint="eastAsia" w:ascii="方正小标宋简体" w:eastAsia="方正小标宋简体"/>
          <w:color w:val="000000"/>
          <w:sz w:val="44"/>
          <w:szCs w:val="44"/>
          <w:lang w:eastAsia="zh-CN"/>
        </w:rPr>
        <w:t>生产</w:t>
      </w:r>
      <w:r>
        <w:rPr>
          <w:rFonts w:hint="eastAsia" w:ascii="方正小标宋简体" w:eastAsia="方正小标宋简体"/>
          <w:color w:val="000000"/>
          <w:sz w:val="44"/>
          <w:szCs w:val="44"/>
        </w:rPr>
        <w:t>重大</w:t>
      </w:r>
      <w:r>
        <w:rPr>
          <w:rFonts w:hint="eastAsia" w:ascii="方正小标宋简体" w:eastAsia="方正小标宋简体"/>
          <w:color w:val="000000"/>
          <w:sz w:val="44"/>
          <w:szCs w:val="44"/>
          <w:lang w:val="en-US" w:eastAsia="zh-CN"/>
        </w:rPr>
        <w:t>事故</w:t>
      </w:r>
      <w:r>
        <w:rPr>
          <w:rFonts w:hint="eastAsia" w:ascii="方正小标宋简体" w:eastAsia="方正小标宋简体"/>
          <w:color w:val="000000"/>
          <w:sz w:val="44"/>
          <w:szCs w:val="44"/>
        </w:rPr>
        <w:t>隐患销号明细表</w:t>
      </w:r>
    </w:p>
    <w:p w14:paraId="746522CE">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eastAsia" w:ascii="黑体" w:eastAsia="黑体"/>
          <w:color w:val="000000"/>
        </w:rPr>
      </w:pPr>
    </w:p>
    <w:tbl>
      <w:tblPr>
        <w:tblStyle w:val="14"/>
        <w:tblW w:w="15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200"/>
        <w:gridCol w:w="739"/>
        <w:gridCol w:w="3961"/>
        <w:gridCol w:w="1857"/>
        <w:gridCol w:w="1189"/>
        <w:gridCol w:w="1908"/>
        <w:gridCol w:w="1319"/>
        <w:gridCol w:w="997"/>
      </w:tblGrid>
      <w:tr w14:paraId="57146D71">
        <w:trPr>
          <w:trHeight w:val="450" w:hRule="atLeast"/>
          <w:tblHeader/>
          <w:jc w:val="center"/>
        </w:trPr>
        <w:tc>
          <w:tcPr>
            <w:tcW w:w="844" w:type="dxa"/>
            <w:tcBorders>
              <w:tl2br w:val="nil"/>
              <w:tr2bl w:val="nil"/>
            </w:tcBorders>
            <w:noWrap/>
            <w:vAlign w:val="center"/>
          </w:tcPr>
          <w:p w14:paraId="1C92C40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lang w:eastAsia="zh-CN"/>
              </w:rPr>
            </w:pPr>
            <w:r>
              <w:rPr>
                <w:rFonts w:hint="eastAsia" w:ascii="黑体" w:eastAsia="黑体" w:cs="黑体"/>
                <w:b w:val="0"/>
                <w:bCs/>
                <w:color w:val="000000"/>
                <w:kern w:val="0"/>
                <w:sz w:val="24"/>
                <w:szCs w:val="24"/>
                <w:highlight w:val="none"/>
                <w:lang w:eastAsia="zh-CN"/>
              </w:rPr>
              <w:t>序号</w:t>
            </w:r>
          </w:p>
        </w:tc>
        <w:tc>
          <w:tcPr>
            <w:tcW w:w="2200" w:type="dxa"/>
            <w:tcBorders>
              <w:tl2br w:val="nil"/>
              <w:tr2bl w:val="nil"/>
            </w:tcBorders>
            <w:noWrap/>
            <w:vAlign w:val="center"/>
          </w:tcPr>
          <w:p w14:paraId="080A438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隐患名称</w:t>
            </w:r>
          </w:p>
        </w:tc>
        <w:tc>
          <w:tcPr>
            <w:tcW w:w="739" w:type="dxa"/>
            <w:tcBorders>
              <w:tl2br w:val="nil"/>
              <w:tr2bl w:val="nil"/>
            </w:tcBorders>
            <w:noWrap/>
            <w:vAlign w:val="center"/>
          </w:tcPr>
          <w:p w14:paraId="58CCD03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行业</w:t>
            </w:r>
          </w:p>
          <w:p w14:paraId="34AB8D2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分类</w:t>
            </w:r>
          </w:p>
        </w:tc>
        <w:tc>
          <w:tcPr>
            <w:tcW w:w="3961" w:type="dxa"/>
            <w:tcBorders>
              <w:tl2br w:val="nil"/>
              <w:tr2bl w:val="nil"/>
            </w:tcBorders>
            <w:noWrap/>
            <w:vAlign w:val="center"/>
          </w:tcPr>
          <w:p w14:paraId="56D2561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隐患基本情况</w:t>
            </w:r>
          </w:p>
        </w:tc>
        <w:tc>
          <w:tcPr>
            <w:tcW w:w="1857" w:type="dxa"/>
            <w:tcBorders>
              <w:tl2br w:val="nil"/>
              <w:tr2bl w:val="nil"/>
            </w:tcBorders>
            <w:noWrap/>
            <w:vAlign w:val="center"/>
          </w:tcPr>
          <w:p w14:paraId="5EE09CB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治理责任单位</w:t>
            </w:r>
          </w:p>
        </w:tc>
        <w:tc>
          <w:tcPr>
            <w:tcW w:w="1189" w:type="dxa"/>
            <w:tcBorders>
              <w:tl2br w:val="nil"/>
              <w:tr2bl w:val="nil"/>
            </w:tcBorders>
            <w:noWrap/>
            <w:vAlign w:val="center"/>
          </w:tcPr>
          <w:p w14:paraId="06B0DEA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属地监管</w:t>
            </w:r>
          </w:p>
          <w:p w14:paraId="5F5E73C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责任单位</w:t>
            </w:r>
          </w:p>
        </w:tc>
        <w:tc>
          <w:tcPr>
            <w:tcW w:w="1908" w:type="dxa"/>
            <w:tcBorders>
              <w:tl2br w:val="nil"/>
              <w:tr2bl w:val="nil"/>
            </w:tcBorders>
            <w:noWrap/>
            <w:vAlign w:val="center"/>
          </w:tcPr>
          <w:p w14:paraId="692437D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行业督办单位</w:t>
            </w:r>
          </w:p>
        </w:tc>
        <w:tc>
          <w:tcPr>
            <w:tcW w:w="1319" w:type="dxa"/>
            <w:tcBorders>
              <w:tl2br w:val="nil"/>
              <w:tr2bl w:val="nil"/>
            </w:tcBorders>
            <w:noWrap/>
            <w:vAlign w:val="center"/>
          </w:tcPr>
          <w:p w14:paraId="0233D2E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整改时限</w:t>
            </w:r>
          </w:p>
        </w:tc>
        <w:tc>
          <w:tcPr>
            <w:tcW w:w="997" w:type="dxa"/>
            <w:tcBorders>
              <w:tl2br w:val="nil"/>
              <w:tr2bl w:val="nil"/>
            </w:tcBorders>
            <w:noWrap/>
            <w:vAlign w:val="center"/>
          </w:tcPr>
          <w:p w14:paraId="1C322C1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销号</w:t>
            </w:r>
          </w:p>
          <w:p w14:paraId="2815A78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意见</w:t>
            </w:r>
          </w:p>
        </w:tc>
      </w:tr>
      <w:tr w14:paraId="6B1E7BA6">
        <w:trPr>
          <w:trHeight w:val="2908" w:hRule="atLeast"/>
          <w:jc w:val="center"/>
        </w:trPr>
        <w:tc>
          <w:tcPr>
            <w:tcW w:w="844" w:type="dxa"/>
            <w:tcBorders>
              <w:tl2br w:val="nil"/>
              <w:tr2bl w:val="nil"/>
            </w:tcBorders>
            <w:noWrap/>
            <w:vAlign w:val="center"/>
          </w:tcPr>
          <w:p w14:paraId="446E38FE">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1</w:t>
            </w:r>
          </w:p>
        </w:tc>
        <w:tc>
          <w:tcPr>
            <w:tcW w:w="2200" w:type="dxa"/>
            <w:tcBorders>
              <w:tl2br w:val="nil"/>
              <w:tr2bl w:val="nil"/>
            </w:tcBorders>
            <w:noWrap/>
            <w:vAlign w:val="center"/>
          </w:tcPr>
          <w:p w14:paraId="7B0AAE1A">
            <w:pPr>
              <w:widowControl/>
              <w:kinsoku w:val="0"/>
              <w:autoSpaceDE/>
              <w:autoSpaceDN/>
              <w:adjustRightInd/>
              <w:snapToGrid/>
              <w:spacing w:line="360" w:lineRule="exact"/>
              <w:jc w:val="center"/>
              <w:textAlignment w:val="baseline"/>
              <w:rPr>
                <w:rFonts w:hint="eastAsia" w:ascii="仿宋" w:eastAsia="仿宋" w:cs="仿宋"/>
                <w:color w:val="000000"/>
                <w:kern w:val="2"/>
                <w:sz w:val="24"/>
                <w:szCs w:val="24"/>
                <w:highlight w:val="none"/>
                <w:lang w:val="en-US" w:eastAsia="zh-CN" w:bidi="ar-SA"/>
              </w:rPr>
            </w:pPr>
            <w:r>
              <w:rPr>
                <w:rFonts w:ascii="仿宋"/>
                <w:b w:val="0"/>
                <w:bCs w:val="0"/>
                <w:color w:val="auto"/>
                <w:sz w:val="24"/>
                <w:szCs w:val="24"/>
                <w:lang w:val="en-US" w:eastAsia="zh-CN"/>
              </w:rPr>
              <w:t>陕西凯美亚酒店管理有限公司</w:t>
            </w:r>
            <w:r>
              <w:rPr>
                <w:rFonts w:hint="eastAsia" w:ascii="仿宋"/>
                <w:b w:val="0"/>
                <w:bCs w:val="0"/>
                <w:color w:val="auto"/>
                <w:sz w:val="24"/>
                <w:szCs w:val="24"/>
                <w:lang w:val="en-US" w:eastAsia="zh-CN"/>
              </w:rPr>
              <w:t>消防安全隐患</w:t>
            </w:r>
          </w:p>
        </w:tc>
        <w:tc>
          <w:tcPr>
            <w:tcW w:w="739" w:type="dxa"/>
            <w:tcBorders>
              <w:tl2br w:val="nil"/>
              <w:tr2bl w:val="nil"/>
            </w:tcBorders>
            <w:noWrap/>
            <w:vAlign w:val="center"/>
          </w:tcPr>
          <w:p w14:paraId="65C76640">
            <w:pPr>
              <w:widowControl/>
              <w:kinsoku w:val="0"/>
              <w:autoSpaceDE/>
              <w:autoSpaceDN/>
              <w:adjustRightInd/>
              <w:snapToGrid/>
              <w:spacing w:line="360" w:lineRule="exact"/>
              <w:jc w:val="center"/>
              <w:textAlignment w:val="baseline"/>
              <w:rPr>
                <w:rFonts w:hint="eastAsia" w:ascii="仿宋" w:cs="仿宋"/>
                <w:i w:val="0"/>
                <w:color w:val="000000"/>
                <w:kern w:val="0"/>
                <w:sz w:val="24"/>
                <w:szCs w:val="24"/>
                <w:highlight w:val="none"/>
                <w:u w:val="none"/>
                <w:lang w:val="en-US" w:eastAsia="zh-CN"/>
              </w:rPr>
            </w:pPr>
            <w:r>
              <w:rPr>
                <w:rFonts w:hint="eastAsia"/>
                <w:b w:val="0"/>
                <w:bCs w:val="0"/>
                <w:color w:val="auto"/>
                <w:sz w:val="24"/>
                <w:szCs w:val="24"/>
                <w:lang w:val="en-US" w:eastAsia="zh-CN"/>
              </w:rPr>
              <w:t>商务</w:t>
            </w:r>
          </w:p>
        </w:tc>
        <w:tc>
          <w:tcPr>
            <w:tcW w:w="3961" w:type="dxa"/>
            <w:tcBorders>
              <w:tl2br w:val="nil"/>
              <w:tr2bl w:val="nil"/>
            </w:tcBorders>
            <w:noWrap/>
            <w:vAlign w:val="center"/>
          </w:tcPr>
          <w:p w14:paraId="5E5663B2">
            <w:pPr>
              <w:keepNext w:val="0"/>
              <w:keepLines w:val="0"/>
              <w:pageBreakBefore w:val="0"/>
              <w:widowControl/>
              <w:kinsoku w:val="0"/>
              <w:wordWrap/>
              <w:overflowPunct/>
              <w:topLinePunct w:val="0"/>
              <w:autoSpaceDE/>
              <w:autoSpaceDN/>
              <w:bidi w:val="0"/>
              <w:adjustRightInd w:val="0"/>
              <w:snapToGrid w:val="0"/>
              <w:spacing w:line="240" w:lineRule="auto"/>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酒店属二类高层，共12层，高约36米，2021年改造后投入使用，执行高层民用建筑设计防火规范 GB50045-95（2005年版）。</w:t>
            </w:r>
          </w:p>
          <w:p w14:paraId="4AD04697">
            <w:pPr>
              <w:keepNext w:val="0"/>
              <w:keepLines w:val="0"/>
              <w:pageBreakBefore w:val="0"/>
              <w:widowControl/>
              <w:kinsoku w:val="0"/>
              <w:wordWrap/>
              <w:overflowPunct/>
              <w:topLinePunct w:val="0"/>
              <w:autoSpaceDE/>
              <w:autoSpaceDN/>
              <w:bidi w:val="0"/>
              <w:adjustRightInd w:val="0"/>
              <w:snapToGrid w:val="0"/>
              <w:spacing w:line="240" w:lineRule="auto"/>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1.消防控制室、消防水泵房未设最末一级双电源自动切换装置；</w:t>
            </w:r>
          </w:p>
          <w:p w14:paraId="5AB9803A">
            <w:pPr>
              <w:keepNext w:val="0"/>
              <w:keepLines w:val="0"/>
              <w:pageBreakBefore w:val="0"/>
              <w:widowControl/>
              <w:kinsoku w:val="0"/>
              <w:wordWrap/>
              <w:overflowPunct/>
              <w:topLinePunct w:val="0"/>
              <w:autoSpaceDE/>
              <w:autoSpaceDN/>
              <w:bidi w:val="0"/>
              <w:adjustRightInd w:val="0"/>
              <w:snapToGrid w:val="0"/>
              <w:spacing w:line="240" w:lineRule="auto"/>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2.喷淋泵故障不能自动启动，喷淋系统管网无水；</w:t>
            </w:r>
          </w:p>
          <w:p w14:paraId="089A2BAB">
            <w:pPr>
              <w:keepNext w:val="0"/>
              <w:keepLines w:val="0"/>
              <w:pageBreakBefore w:val="0"/>
              <w:widowControl/>
              <w:kinsoku w:val="0"/>
              <w:wordWrap/>
              <w:overflowPunct/>
              <w:topLinePunct w:val="0"/>
              <w:autoSpaceDE/>
              <w:autoSpaceDN/>
              <w:bidi w:val="0"/>
              <w:adjustRightInd w:val="0"/>
              <w:snapToGrid w:val="0"/>
              <w:spacing w:line="240" w:lineRule="auto"/>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3.室内消火栓泵故障不能自动启动；</w:t>
            </w:r>
          </w:p>
          <w:p w14:paraId="74BB5E7F">
            <w:pPr>
              <w:keepNext w:val="0"/>
              <w:keepLines w:val="0"/>
              <w:pageBreakBefore w:val="0"/>
              <w:widowControl/>
              <w:kinsoku w:val="0"/>
              <w:wordWrap/>
              <w:overflowPunct/>
              <w:topLinePunct w:val="0"/>
              <w:autoSpaceDE/>
              <w:autoSpaceDN/>
              <w:bidi w:val="0"/>
              <w:adjustRightInd w:val="0"/>
              <w:snapToGrid w:val="0"/>
              <w:spacing w:line="240" w:lineRule="auto"/>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4.消防控制室持证人员不足，现场2人持中级证；</w:t>
            </w:r>
          </w:p>
          <w:p w14:paraId="23273219">
            <w:pPr>
              <w:keepNext w:val="0"/>
              <w:keepLines w:val="0"/>
              <w:pageBreakBefore w:val="0"/>
              <w:widowControl/>
              <w:kinsoku w:val="0"/>
              <w:wordWrap/>
              <w:overflowPunct/>
              <w:topLinePunct w:val="0"/>
              <w:autoSpaceDE/>
              <w:autoSpaceDN/>
              <w:bidi w:val="0"/>
              <w:adjustRightInd w:val="0"/>
              <w:snapToGrid w:val="0"/>
              <w:spacing w:line="240" w:lineRule="auto"/>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5.走道常闭，排烟口开启后排烟风机不能自动启动；</w:t>
            </w:r>
          </w:p>
          <w:p w14:paraId="0672FF75">
            <w:pPr>
              <w:keepNext w:val="0"/>
              <w:keepLines w:val="0"/>
              <w:pageBreakBefore w:val="0"/>
              <w:widowControl/>
              <w:kinsoku w:val="0"/>
              <w:wordWrap/>
              <w:overflowPunct/>
              <w:topLinePunct w:val="0"/>
              <w:autoSpaceDE/>
              <w:autoSpaceDN/>
              <w:bidi w:val="0"/>
              <w:adjustRightInd w:val="0"/>
              <w:snapToGrid w:val="0"/>
              <w:spacing w:line="240" w:lineRule="auto"/>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6.酒店高约36米，二类高层，设有消防电梯，未设防烟楼梯间前室。</w:t>
            </w:r>
          </w:p>
          <w:p w14:paraId="2945B6A4">
            <w:pPr>
              <w:keepNext w:val="0"/>
              <w:keepLines w:val="0"/>
              <w:pageBreakBefore w:val="0"/>
              <w:widowControl/>
              <w:kinsoku w:val="0"/>
              <w:wordWrap/>
              <w:overflowPunct/>
              <w:topLinePunct w:val="0"/>
              <w:autoSpaceDE/>
              <w:autoSpaceDN/>
              <w:bidi w:val="0"/>
              <w:adjustRightInd w:val="0"/>
              <w:snapToGrid w:val="0"/>
              <w:spacing w:line="240" w:lineRule="auto"/>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【依据《重大火灾隐患判定方法》第5.3.3条】</w:t>
            </w:r>
          </w:p>
        </w:tc>
        <w:tc>
          <w:tcPr>
            <w:tcW w:w="1857" w:type="dxa"/>
            <w:tcBorders>
              <w:tl2br w:val="nil"/>
              <w:tr2bl w:val="nil"/>
            </w:tcBorders>
            <w:noWrap/>
            <w:vAlign w:val="center"/>
          </w:tcPr>
          <w:p w14:paraId="1F004D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eastAsia="仿宋" w:cs="仿宋"/>
                <w:color w:val="000000"/>
                <w:kern w:val="2"/>
                <w:sz w:val="24"/>
                <w:szCs w:val="24"/>
                <w:highlight w:val="none"/>
                <w:lang w:val="en-US" w:eastAsia="zh-CN" w:bidi="ar-SA"/>
              </w:rPr>
            </w:pPr>
            <w:r>
              <w:rPr>
                <w:rFonts w:ascii="仿宋"/>
                <w:b w:val="0"/>
                <w:bCs w:val="0"/>
                <w:color w:val="auto"/>
                <w:sz w:val="24"/>
                <w:szCs w:val="24"/>
                <w:lang w:val="en-US" w:eastAsia="zh-CN"/>
              </w:rPr>
              <w:t>陕西凯美亚酒店管理有限公司</w:t>
            </w:r>
          </w:p>
        </w:tc>
        <w:tc>
          <w:tcPr>
            <w:tcW w:w="1189" w:type="dxa"/>
            <w:tcBorders>
              <w:tl2br w:val="nil"/>
              <w:tr2bl w:val="nil"/>
            </w:tcBorders>
            <w:noWrap/>
            <w:vAlign w:val="center"/>
          </w:tcPr>
          <w:p w14:paraId="47068D0B">
            <w:pPr>
              <w:widowControl/>
              <w:kinsoku w:val="0"/>
              <w:autoSpaceDE w:val="0"/>
              <w:autoSpaceDN w:val="0"/>
              <w:adjustRightInd w:val="0"/>
              <w:snapToGrid w:val="0"/>
              <w:jc w:val="center"/>
              <w:textAlignment w:val="baseline"/>
              <w:rPr>
                <w:rFonts w:hint="eastAsia"/>
                <w:b w:val="0"/>
                <w:bCs w:val="0"/>
                <w:color w:val="auto"/>
                <w:sz w:val="24"/>
                <w:szCs w:val="24"/>
                <w:lang w:eastAsia="zh-CN"/>
              </w:rPr>
            </w:pPr>
            <w:r>
              <w:rPr>
                <w:rFonts w:hint="eastAsia"/>
                <w:b w:val="0"/>
                <w:bCs w:val="0"/>
                <w:color w:val="auto"/>
                <w:sz w:val="24"/>
                <w:szCs w:val="24"/>
                <w:lang w:eastAsia="zh-CN"/>
              </w:rPr>
              <w:t>宝鸡市</w:t>
            </w:r>
          </w:p>
          <w:p w14:paraId="5E8D5AB0">
            <w:pPr>
              <w:widowControl/>
              <w:kinsoku w:val="0"/>
              <w:autoSpaceDE w:val="0"/>
              <w:autoSpaceDN w:val="0"/>
              <w:adjustRightInd w:val="0"/>
              <w:snapToGrid w:val="0"/>
              <w:jc w:val="center"/>
              <w:textAlignment w:val="baseline"/>
              <w:rPr>
                <w:rFonts w:hint="eastAsia" w:ascii="仿宋" w:eastAsia="仿宋" w:cs="仿宋"/>
                <w:color w:val="000000"/>
                <w:kern w:val="2"/>
                <w:sz w:val="24"/>
                <w:szCs w:val="24"/>
                <w:highlight w:val="none"/>
                <w:lang w:val="en-US" w:eastAsia="zh-CN" w:bidi="ar-SA"/>
              </w:rPr>
            </w:pPr>
            <w:r>
              <w:rPr>
                <w:rFonts w:hint="eastAsia"/>
                <w:b w:val="0"/>
                <w:bCs w:val="0"/>
                <w:color w:val="auto"/>
                <w:sz w:val="24"/>
                <w:szCs w:val="24"/>
                <w:lang w:eastAsia="zh-CN"/>
              </w:rPr>
              <w:t>人民政府</w:t>
            </w:r>
          </w:p>
        </w:tc>
        <w:tc>
          <w:tcPr>
            <w:tcW w:w="1908" w:type="dxa"/>
            <w:tcBorders>
              <w:tl2br w:val="nil"/>
              <w:tr2bl w:val="nil"/>
            </w:tcBorders>
            <w:noWrap/>
            <w:vAlign w:val="center"/>
          </w:tcPr>
          <w:p w14:paraId="3D108DC7">
            <w:pPr>
              <w:spacing w:line="300" w:lineRule="exact"/>
              <w:jc w:val="cente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省商务厅、</w:t>
            </w:r>
          </w:p>
          <w:p w14:paraId="088952E3">
            <w:pPr>
              <w:spacing w:line="300" w:lineRule="exact"/>
              <w:jc w:val="center"/>
              <w:rPr>
                <w:rFonts w:hint="eastAsia" w:ascii="仿宋" w:eastAsia="仿宋" w:cs="仿宋"/>
                <w:color w:val="000000"/>
                <w:kern w:val="2"/>
                <w:sz w:val="24"/>
                <w:szCs w:val="24"/>
                <w:highlight w:val="none"/>
                <w:lang w:val="en-US" w:eastAsia="zh-CN" w:bidi="ar-SA"/>
              </w:rPr>
            </w:pPr>
            <w:r>
              <w:rPr>
                <w:rFonts w:hint="eastAsia" w:cs="Times New Roman"/>
                <w:color w:val="auto"/>
                <w:kern w:val="2"/>
                <w:sz w:val="24"/>
                <w:szCs w:val="24"/>
                <w:lang w:val="en-US" w:eastAsia="zh-CN" w:bidi="ar-SA"/>
              </w:rPr>
              <w:t>省消防救援总队</w:t>
            </w:r>
          </w:p>
        </w:tc>
        <w:tc>
          <w:tcPr>
            <w:tcW w:w="1319" w:type="dxa"/>
            <w:tcBorders>
              <w:tl2br w:val="nil"/>
              <w:tr2bl w:val="nil"/>
            </w:tcBorders>
            <w:noWrap/>
            <w:vAlign w:val="center"/>
          </w:tcPr>
          <w:p w14:paraId="26236FF0">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2025年</w:t>
            </w:r>
          </w:p>
          <w:p w14:paraId="726DBA48">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sz w:val="24"/>
                <w:szCs w:val="24"/>
                <w:lang w:val="en-US" w:eastAsia="zh-CN"/>
              </w:rPr>
            </w:pPr>
            <w:r>
              <w:rPr>
                <w:rFonts w:hint="eastAsia" w:ascii="仿宋" w:eastAsia="仿宋" w:cs="仿宋"/>
                <w:color w:val="000000"/>
                <w:kern w:val="2"/>
                <w:sz w:val="24"/>
                <w:szCs w:val="24"/>
                <w:highlight w:val="none"/>
                <w:lang w:val="en-US" w:eastAsia="zh-CN" w:bidi="ar-SA"/>
              </w:rPr>
              <w:t>11月15日</w:t>
            </w:r>
          </w:p>
        </w:tc>
        <w:tc>
          <w:tcPr>
            <w:tcW w:w="997" w:type="dxa"/>
            <w:tcBorders>
              <w:tl2br w:val="nil"/>
              <w:tr2bl w:val="nil"/>
            </w:tcBorders>
            <w:noWrap/>
            <w:vAlign w:val="center"/>
          </w:tcPr>
          <w:p w14:paraId="35B180BD">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hint="eastAsia" w:ascii="仿宋" w:eastAsia="仿宋" w:cs="仿宋"/>
                <w:i w:val="0"/>
                <w:color w:val="000000"/>
                <w:kern w:val="0"/>
                <w:sz w:val="24"/>
                <w:szCs w:val="24"/>
                <w:highlight w:val="none"/>
                <w:u w:val="none"/>
                <w:lang w:val="en-US" w:eastAsia="zh-CN"/>
              </w:rPr>
            </w:pPr>
            <w:r>
              <w:rPr>
                <w:rFonts w:hint="eastAsia" w:ascii="仿宋" w:eastAsia="仿宋" w:cs="仿宋"/>
                <w:i w:val="0"/>
                <w:color w:val="000000"/>
                <w:kern w:val="0"/>
                <w:sz w:val="24"/>
                <w:szCs w:val="24"/>
                <w:highlight w:val="none"/>
                <w:u w:val="none"/>
                <w:lang w:val="en-US" w:eastAsia="zh-CN"/>
              </w:rPr>
              <w:t>同意</w:t>
            </w:r>
          </w:p>
          <w:p w14:paraId="11C0D4AC">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hint="eastAsia" w:ascii="仿宋" w:eastAsia="仿宋" w:cs="仿宋"/>
                <w:i w:val="0"/>
                <w:color w:val="000000"/>
                <w:kern w:val="0"/>
                <w:sz w:val="24"/>
                <w:szCs w:val="24"/>
                <w:highlight w:val="none"/>
                <w:u w:val="none"/>
                <w:lang w:val="en-US" w:eastAsia="zh-CN"/>
              </w:rPr>
            </w:pPr>
            <w:r>
              <w:rPr>
                <w:rFonts w:hint="eastAsia" w:ascii="仿宋" w:eastAsia="仿宋" w:cs="仿宋"/>
                <w:i w:val="0"/>
                <w:color w:val="000000"/>
                <w:kern w:val="0"/>
                <w:sz w:val="24"/>
                <w:szCs w:val="24"/>
                <w:highlight w:val="none"/>
                <w:u w:val="none"/>
                <w:lang w:val="en-US" w:eastAsia="zh-CN"/>
              </w:rPr>
              <w:t>销号</w:t>
            </w:r>
          </w:p>
        </w:tc>
      </w:tr>
      <w:tr w14:paraId="4612E3E3">
        <w:trPr>
          <w:trHeight w:val="1401" w:hRule="atLeast"/>
          <w:jc w:val="center"/>
        </w:trPr>
        <w:tc>
          <w:tcPr>
            <w:tcW w:w="844" w:type="dxa"/>
            <w:tcBorders>
              <w:tl2br w:val="nil"/>
              <w:tr2bl w:val="nil"/>
            </w:tcBorders>
            <w:noWrap/>
            <w:vAlign w:val="center"/>
          </w:tcPr>
          <w:p w14:paraId="66B5FA7E">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2</w:t>
            </w:r>
          </w:p>
        </w:tc>
        <w:tc>
          <w:tcPr>
            <w:tcW w:w="2200" w:type="dxa"/>
            <w:tcBorders>
              <w:tl2br w:val="nil"/>
              <w:tr2bl w:val="nil"/>
            </w:tcBorders>
            <w:noWrap/>
            <w:vAlign w:val="center"/>
          </w:tcPr>
          <w:p w14:paraId="34BC4E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渭南市华州区少华中学</w:t>
            </w:r>
            <w:r>
              <w:rPr>
                <w:rFonts w:hint="eastAsia" w:ascii="仿宋" w:cs="仿宋"/>
                <w:color w:val="000000"/>
                <w:kern w:val="2"/>
                <w:sz w:val="24"/>
                <w:szCs w:val="24"/>
                <w:highlight w:val="none"/>
                <w:lang w:val="en-US" w:eastAsia="zh-CN" w:bidi="ar-SA"/>
              </w:rPr>
              <w:t>消防安全隐患</w:t>
            </w:r>
          </w:p>
        </w:tc>
        <w:tc>
          <w:tcPr>
            <w:tcW w:w="739" w:type="dxa"/>
            <w:tcBorders>
              <w:tl2br w:val="nil"/>
              <w:tr2bl w:val="nil"/>
            </w:tcBorders>
            <w:noWrap/>
            <w:vAlign w:val="center"/>
          </w:tcPr>
          <w:p w14:paraId="2EC4B3BB">
            <w:pPr>
              <w:widowControl/>
              <w:kinsoku w:val="0"/>
              <w:autoSpaceDE/>
              <w:autoSpaceDN/>
              <w:adjustRightInd/>
              <w:snapToGrid/>
              <w:spacing w:line="36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教育</w:t>
            </w:r>
          </w:p>
        </w:tc>
        <w:tc>
          <w:tcPr>
            <w:tcW w:w="3961" w:type="dxa"/>
            <w:tcBorders>
              <w:tl2br w:val="nil"/>
              <w:tr2bl w:val="nil"/>
            </w:tcBorders>
            <w:noWrap/>
            <w:vAlign w:val="center"/>
          </w:tcPr>
          <w:p w14:paraId="5A20A6F2">
            <w:pPr>
              <w:keepNext w:val="0"/>
              <w:keepLines w:val="0"/>
              <w:pageBreakBefore w:val="0"/>
              <w:widowControl/>
              <w:kinsoku w:val="0"/>
              <w:wordWrap/>
              <w:overflowPunct/>
              <w:topLinePunct w:val="0"/>
              <w:autoSpaceDE/>
              <w:autoSpaceDN/>
              <w:bidi w:val="0"/>
              <w:adjustRightInd w:val="0"/>
              <w:snapToGrid w:val="0"/>
              <w:spacing w:line="240" w:lineRule="auto"/>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1.学生公寓楼的学生宿舍内所安装的独立式火灾探测器不具有联网功能（未安装火灾自动报警系统）；</w:t>
            </w:r>
          </w:p>
          <w:p w14:paraId="083AB42B">
            <w:pPr>
              <w:keepNext w:val="0"/>
              <w:keepLines w:val="0"/>
              <w:pageBreakBefore w:val="0"/>
              <w:widowControl/>
              <w:kinsoku w:val="0"/>
              <w:wordWrap/>
              <w:overflowPunct/>
              <w:topLinePunct w:val="0"/>
              <w:autoSpaceDE/>
              <w:autoSpaceDN/>
              <w:bidi w:val="0"/>
              <w:adjustRightInd w:val="0"/>
              <w:snapToGrid w:val="0"/>
              <w:spacing w:line="240" w:lineRule="auto"/>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2.室内消火栓系统无水。</w:t>
            </w:r>
          </w:p>
          <w:p w14:paraId="626F7AFF">
            <w:pPr>
              <w:keepNext w:val="0"/>
              <w:keepLines w:val="0"/>
              <w:pageBreakBefore w:val="0"/>
              <w:widowControl/>
              <w:kinsoku w:val="0"/>
              <w:wordWrap/>
              <w:overflowPunct/>
              <w:topLinePunct w:val="0"/>
              <w:autoSpaceDE/>
              <w:autoSpaceDN/>
              <w:bidi w:val="0"/>
              <w:adjustRightInd w:val="0"/>
              <w:snapToGrid w:val="0"/>
              <w:spacing w:line="240" w:lineRule="auto"/>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【依据《教育系统重大事故隐患判定指南》第三条（一）第四款】</w:t>
            </w:r>
          </w:p>
        </w:tc>
        <w:tc>
          <w:tcPr>
            <w:tcW w:w="1857" w:type="dxa"/>
            <w:tcBorders>
              <w:tl2br w:val="nil"/>
              <w:tr2bl w:val="nil"/>
            </w:tcBorders>
            <w:noWrap/>
            <w:vAlign w:val="center"/>
          </w:tcPr>
          <w:p w14:paraId="1AA3D7BA">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渭南市华州区少华中学</w:t>
            </w:r>
          </w:p>
        </w:tc>
        <w:tc>
          <w:tcPr>
            <w:tcW w:w="1189" w:type="dxa"/>
            <w:tcBorders>
              <w:tl2br w:val="nil"/>
              <w:tr2bl w:val="nil"/>
            </w:tcBorders>
            <w:noWrap/>
            <w:vAlign w:val="center"/>
          </w:tcPr>
          <w:p w14:paraId="0843F477">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渭南市</w:t>
            </w:r>
          </w:p>
          <w:p w14:paraId="7AE2C222">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人民政府</w:t>
            </w:r>
          </w:p>
        </w:tc>
        <w:tc>
          <w:tcPr>
            <w:tcW w:w="1908" w:type="dxa"/>
            <w:tcBorders>
              <w:tl2br w:val="nil"/>
              <w:tr2bl w:val="nil"/>
            </w:tcBorders>
            <w:noWrap/>
            <w:vAlign w:val="center"/>
          </w:tcPr>
          <w:p w14:paraId="56334399">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省教育厅</w:t>
            </w:r>
          </w:p>
        </w:tc>
        <w:tc>
          <w:tcPr>
            <w:tcW w:w="1319" w:type="dxa"/>
            <w:tcBorders>
              <w:tl2br w:val="nil"/>
              <w:tr2bl w:val="nil"/>
            </w:tcBorders>
            <w:noWrap/>
            <w:vAlign w:val="center"/>
          </w:tcPr>
          <w:p w14:paraId="3856ADDD">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2025年</w:t>
            </w:r>
          </w:p>
          <w:p w14:paraId="1F0D9E44">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10月31日</w:t>
            </w:r>
          </w:p>
        </w:tc>
        <w:tc>
          <w:tcPr>
            <w:tcW w:w="997" w:type="dxa"/>
            <w:tcBorders>
              <w:tl2br w:val="nil"/>
              <w:tr2bl w:val="nil"/>
            </w:tcBorders>
            <w:noWrap/>
            <w:vAlign w:val="center"/>
          </w:tcPr>
          <w:p w14:paraId="6F89D910">
            <w:pPr>
              <w:keepNext w:val="0"/>
              <w:keepLines w:val="0"/>
              <w:pageBreakBefore w:val="0"/>
              <w:widowControl w:val="0"/>
              <w:suppressLineNumbers w:val="0"/>
              <w:kinsoku w:val="0"/>
              <w:wordWrap/>
              <w:overflowPunct/>
              <w:topLinePunct w:val="0"/>
              <w:autoSpaceDE/>
              <w:autoSpaceDN/>
              <w:bidi w:val="0"/>
              <w:adjustRightInd/>
              <w:snapToGrid/>
              <w:spacing w:line="36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724BBDE7">
            <w:pPr>
              <w:keepNext w:val="0"/>
              <w:keepLines w:val="0"/>
              <w:pageBreakBefore w:val="0"/>
              <w:widowControl w:val="0"/>
              <w:suppressLineNumbers w:val="0"/>
              <w:kinsoku w:val="0"/>
              <w:wordWrap/>
              <w:overflowPunct/>
              <w:topLinePunct w:val="0"/>
              <w:autoSpaceDE/>
              <w:autoSpaceDN/>
              <w:bidi w:val="0"/>
              <w:adjustRightInd/>
              <w:snapToGrid/>
              <w:spacing w:line="360" w:lineRule="exact"/>
              <w:jc w:val="center"/>
              <w:textAlignment w:val="center"/>
              <w:rPr>
                <w:rFonts w:hint="eastAsia" w:ascii="仿宋" w:eastAsia="仿宋" w:cs="仿宋"/>
                <w:i w:val="0"/>
                <w:color w:val="000000"/>
                <w:kern w:val="0"/>
                <w:sz w:val="24"/>
                <w:szCs w:val="24"/>
                <w:highlight w:val="yellow"/>
                <w:u w:val="none"/>
                <w:lang w:val="en-US" w:eastAsia="zh-CN"/>
              </w:rPr>
            </w:pPr>
            <w:r>
              <w:rPr>
                <w:rFonts w:hint="eastAsia" w:ascii="仿宋" w:eastAsia="仿宋" w:cs="仿宋"/>
                <w:i w:val="0"/>
                <w:color w:val="000000"/>
                <w:kern w:val="0"/>
                <w:sz w:val="24"/>
                <w:szCs w:val="24"/>
                <w:u w:val="none"/>
                <w:lang w:val="en-US" w:eastAsia="zh-CN"/>
              </w:rPr>
              <w:t>销号</w:t>
            </w:r>
          </w:p>
        </w:tc>
      </w:tr>
      <w:tr w14:paraId="7F5031CA">
        <w:trPr>
          <w:trHeight w:val="2492" w:hRule="atLeast"/>
          <w:jc w:val="center"/>
        </w:trPr>
        <w:tc>
          <w:tcPr>
            <w:tcW w:w="844" w:type="dxa"/>
            <w:tcBorders>
              <w:tl2br w:val="nil"/>
              <w:tr2bl w:val="nil"/>
            </w:tcBorders>
            <w:noWrap/>
            <w:vAlign w:val="center"/>
          </w:tcPr>
          <w:p w14:paraId="270D2F72">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3</w:t>
            </w:r>
          </w:p>
        </w:tc>
        <w:tc>
          <w:tcPr>
            <w:tcW w:w="2200" w:type="dxa"/>
            <w:tcBorders>
              <w:tl2br w:val="nil"/>
              <w:tr2bl w:val="nil"/>
            </w:tcBorders>
            <w:noWrap/>
            <w:vAlign w:val="center"/>
          </w:tcPr>
          <w:p w14:paraId="120A6B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渭南市华州区咸林中学</w:t>
            </w:r>
            <w:r>
              <w:rPr>
                <w:rFonts w:hint="eastAsia" w:ascii="仿宋" w:cs="仿宋"/>
                <w:color w:val="000000"/>
                <w:kern w:val="2"/>
                <w:sz w:val="24"/>
                <w:szCs w:val="24"/>
                <w:highlight w:val="none"/>
                <w:lang w:val="en-US" w:eastAsia="zh-CN" w:bidi="ar-SA"/>
              </w:rPr>
              <w:t>消防安全隐患</w:t>
            </w:r>
          </w:p>
        </w:tc>
        <w:tc>
          <w:tcPr>
            <w:tcW w:w="739" w:type="dxa"/>
            <w:tcBorders>
              <w:tl2br w:val="nil"/>
              <w:tr2bl w:val="nil"/>
            </w:tcBorders>
            <w:noWrap/>
            <w:vAlign w:val="center"/>
          </w:tcPr>
          <w:p w14:paraId="1B498F6C">
            <w:pPr>
              <w:widowControl/>
              <w:kinsoku w:val="0"/>
              <w:autoSpaceDE/>
              <w:autoSpaceDN/>
              <w:adjustRightInd/>
              <w:snapToGrid/>
              <w:spacing w:line="36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教育</w:t>
            </w:r>
          </w:p>
        </w:tc>
        <w:tc>
          <w:tcPr>
            <w:tcW w:w="3961" w:type="dxa"/>
            <w:tcBorders>
              <w:tl2br w:val="nil"/>
              <w:tr2bl w:val="nil"/>
            </w:tcBorders>
            <w:noWrap/>
            <w:vAlign w:val="center"/>
          </w:tcPr>
          <w:p w14:paraId="729E5B9E">
            <w:pPr>
              <w:widowControl/>
              <w:kinsoku w:val="0"/>
              <w:autoSpaceDE/>
              <w:autoSpaceDN/>
              <w:adjustRightInd/>
              <w:snapToGrid/>
              <w:spacing w:line="36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1.因男女共用宿舍，一栋四层，一栋五层，疏散走道被实体墙分隔，造成安全出口数量不足（一部疏散楼梯）；</w:t>
            </w:r>
          </w:p>
          <w:p w14:paraId="5F2A6D8A">
            <w:pPr>
              <w:widowControl/>
              <w:kinsoku w:val="0"/>
              <w:autoSpaceDE/>
              <w:autoSpaceDN/>
              <w:adjustRightInd/>
              <w:snapToGrid/>
              <w:spacing w:line="36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2.学生宿舍内既未安装火灾自动报警系统，也未安装具有联网功能的独立式火灾探测报警器；</w:t>
            </w:r>
          </w:p>
          <w:p w14:paraId="569170F8">
            <w:pPr>
              <w:widowControl/>
              <w:kinsoku w:val="0"/>
              <w:autoSpaceDE/>
              <w:autoSpaceDN/>
              <w:adjustRightInd/>
              <w:snapToGrid/>
              <w:spacing w:line="36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3.教学楼火灾自动报警系统故障，终端设备均不巡检，火灾自动报警系统不能正常使用。</w:t>
            </w:r>
          </w:p>
          <w:p w14:paraId="3CD594AD">
            <w:pPr>
              <w:widowControl/>
              <w:kinsoku w:val="0"/>
              <w:autoSpaceDE/>
              <w:autoSpaceDN/>
              <w:adjustRightInd/>
              <w:snapToGrid/>
              <w:spacing w:line="36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【依据《教育系统重大事故隐患判定指南》第三条（一）第四款】</w:t>
            </w:r>
          </w:p>
        </w:tc>
        <w:tc>
          <w:tcPr>
            <w:tcW w:w="1857" w:type="dxa"/>
            <w:tcBorders>
              <w:tl2br w:val="nil"/>
              <w:tr2bl w:val="nil"/>
            </w:tcBorders>
            <w:noWrap/>
            <w:vAlign w:val="center"/>
          </w:tcPr>
          <w:p w14:paraId="7AB64A96">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渭南市华州区咸林中学</w:t>
            </w:r>
          </w:p>
        </w:tc>
        <w:tc>
          <w:tcPr>
            <w:tcW w:w="1189" w:type="dxa"/>
            <w:tcBorders>
              <w:tl2br w:val="nil"/>
              <w:tr2bl w:val="nil"/>
            </w:tcBorders>
            <w:noWrap/>
            <w:vAlign w:val="center"/>
          </w:tcPr>
          <w:p w14:paraId="279C9F0F">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渭南市</w:t>
            </w:r>
          </w:p>
          <w:p w14:paraId="58FEE75C">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人民政府</w:t>
            </w:r>
          </w:p>
        </w:tc>
        <w:tc>
          <w:tcPr>
            <w:tcW w:w="1908" w:type="dxa"/>
            <w:tcBorders>
              <w:tl2br w:val="nil"/>
              <w:tr2bl w:val="nil"/>
            </w:tcBorders>
            <w:noWrap/>
            <w:vAlign w:val="center"/>
          </w:tcPr>
          <w:p w14:paraId="7996C896">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省教育厅</w:t>
            </w:r>
          </w:p>
        </w:tc>
        <w:tc>
          <w:tcPr>
            <w:tcW w:w="1319" w:type="dxa"/>
            <w:tcBorders>
              <w:tl2br w:val="nil"/>
              <w:tr2bl w:val="nil"/>
            </w:tcBorders>
            <w:noWrap/>
            <w:vAlign w:val="center"/>
          </w:tcPr>
          <w:p w14:paraId="27B3A55C">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2025年</w:t>
            </w:r>
          </w:p>
          <w:p w14:paraId="0ECF8DE5">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10月31日</w:t>
            </w:r>
          </w:p>
        </w:tc>
        <w:tc>
          <w:tcPr>
            <w:tcW w:w="997" w:type="dxa"/>
            <w:tcBorders>
              <w:tl2br w:val="nil"/>
              <w:tr2bl w:val="nil"/>
            </w:tcBorders>
            <w:noWrap/>
            <w:vAlign w:val="center"/>
          </w:tcPr>
          <w:p w14:paraId="3D648241">
            <w:pPr>
              <w:keepNext w:val="0"/>
              <w:keepLines w:val="0"/>
              <w:pageBreakBefore w:val="0"/>
              <w:widowControl w:val="0"/>
              <w:suppressLineNumbers w:val="0"/>
              <w:kinsoku w:val="0"/>
              <w:wordWrap/>
              <w:overflowPunct/>
              <w:topLinePunct w:val="0"/>
              <w:autoSpaceDE/>
              <w:autoSpaceDN/>
              <w:bidi w:val="0"/>
              <w:adjustRightInd/>
              <w:snapToGrid/>
              <w:spacing w:line="36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1EE8994C">
            <w:pPr>
              <w:keepNext w:val="0"/>
              <w:keepLines w:val="0"/>
              <w:pageBreakBefore w:val="0"/>
              <w:widowControl w:val="0"/>
              <w:suppressLineNumbers w:val="0"/>
              <w:kinsoku w:val="0"/>
              <w:wordWrap/>
              <w:overflowPunct/>
              <w:topLinePunct w:val="0"/>
              <w:autoSpaceDE/>
              <w:autoSpaceDN/>
              <w:bidi w:val="0"/>
              <w:adjustRightInd/>
              <w:snapToGrid/>
              <w:spacing w:line="36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销号</w:t>
            </w:r>
          </w:p>
        </w:tc>
      </w:tr>
      <w:tr w14:paraId="7347A0A9">
        <w:trPr>
          <w:trHeight w:val="2010" w:hRule="atLeast"/>
          <w:jc w:val="center"/>
        </w:trPr>
        <w:tc>
          <w:tcPr>
            <w:tcW w:w="844" w:type="dxa"/>
            <w:tcBorders>
              <w:tl2br w:val="nil"/>
              <w:tr2bl w:val="nil"/>
            </w:tcBorders>
            <w:noWrap/>
            <w:vAlign w:val="center"/>
          </w:tcPr>
          <w:p w14:paraId="1FB55F9E">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4</w:t>
            </w:r>
          </w:p>
        </w:tc>
        <w:tc>
          <w:tcPr>
            <w:tcW w:w="2200" w:type="dxa"/>
            <w:tcBorders>
              <w:tl2br w:val="nil"/>
              <w:tr2bl w:val="nil"/>
            </w:tcBorders>
            <w:noWrap/>
            <w:vAlign w:val="center"/>
          </w:tcPr>
          <w:p w14:paraId="5DAF39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西北农林科技大学附属中学</w:t>
            </w:r>
            <w:r>
              <w:rPr>
                <w:rFonts w:hint="eastAsia" w:ascii="仿宋" w:cs="仿宋"/>
                <w:color w:val="000000"/>
                <w:kern w:val="2"/>
                <w:sz w:val="24"/>
                <w:szCs w:val="24"/>
                <w:highlight w:val="none"/>
                <w:lang w:val="en-US" w:eastAsia="zh-CN" w:bidi="ar-SA"/>
              </w:rPr>
              <w:t>消防安全隐患</w:t>
            </w:r>
          </w:p>
        </w:tc>
        <w:tc>
          <w:tcPr>
            <w:tcW w:w="739" w:type="dxa"/>
            <w:tcBorders>
              <w:tl2br w:val="nil"/>
              <w:tr2bl w:val="nil"/>
            </w:tcBorders>
            <w:noWrap/>
            <w:vAlign w:val="center"/>
          </w:tcPr>
          <w:p w14:paraId="44EDC9E7">
            <w:pPr>
              <w:widowControl/>
              <w:kinsoku w:val="0"/>
              <w:autoSpaceDE/>
              <w:autoSpaceDN/>
              <w:adjustRightInd/>
              <w:snapToGrid/>
              <w:spacing w:line="36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教育</w:t>
            </w:r>
          </w:p>
        </w:tc>
        <w:tc>
          <w:tcPr>
            <w:tcW w:w="3961" w:type="dxa"/>
            <w:tcBorders>
              <w:tl2br w:val="nil"/>
              <w:tr2bl w:val="nil"/>
            </w:tcBorders>
            <w:noWrap/>
            <w:vAlign w:val="center"/>
          </w:tcPr>
          <w:p w14:paraId="4A9E8280">
            <w:pPr>
              <w:widowControl/>
              <w:kinsoku w:val="0"/>
              <w:autoSpaceDE/>
              <w:autoSpaceDN/>
              <w:adjustRightInd/>
              <w:snapToGrid/>
              <w:spacing w:line="36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学生公寓楼地上六层，2003年建设，U型建筑，执行2001版建规。学生公寓楼宿舍未安装火灾自动报警系统或具有联网功能的独立式火灾探测报警器。</w:t>
            </w:r>
          </w:p>
          <w:p w14:paraId="6A2D5BDC">
            <w:pPr>
              <w:widowControl/>
              <w:kinsoku w:val="0"/>
              <w:autoSpaceDE/>
              <w:autoSpaceDN/>
              <w:adjustRightInd/>
              <w:snapToGrid/>
              <w:spacing w:line="36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【依据《教育系统重大事故隐患判定指南》第三条（一）第四款】</w:t>
            </w:r>
          </w:p>
        </w:tc>
        <w:tc>
          <w:tcPr>
            <w:tcW w:w="1857" w:type="dxa"/>
            <w:tcBorders>
              <w:tl2br w:val="nil"/>
              <w:tr2bl w:val="nil"/>
            </w:tcBorders>
            <w:noWrap/>
            <w:vAlign w:val="center"/>
          </w:tcPr>
          <w:p w14:paraId="75E84992">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西北农林科技大学附属中学</w:t>
            </w:r>
          </w:p>
        </w:tc>
        <w:tc>
          <w:tcPr>
            <w:tcW w:w="1189" w:type="dxa"/>
            <w:tcBorders>
              <w:tl2br w:val="nil"/>
              <w:tr2bl w:val="nil"/>
            </w:tcBorders>
            <w:noWrap/>
            <w:vAlign w:val="center"/>
          </w:tcPr>
          <w:p w14:paraId="5FF0E6F2">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杨凌示范区管委会</w:t>
            </w:r>
          </w:p>
        </w:tc>
        <w:tc>
          <w:tcPr>
            <w:tcW w:w="1908" w:type="dxa"/>
            <w:tcBorders>
              <w:tl2br w:val="nil"/>
              <w:tr2bl w:val="nil"/>
            </w:tcBorders>
            <w:noWrap/>
            <w:vAlign w:val="center"/>
          </w:tcPr>
          <w:p w14:paraId="64584920">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省教育厅</w:t>
            </w:r>
          </w:p>
        </w:tc>
        <w:tc>
          <w:tcPr>
            <w:tcW w:w="1319" w:type="dxa"/>
            <w:tcBorders>
              <w:tl2br w:val="nil"/>
              <w:tr2bl w:val="nil"/>
            </w:tcBorders>
            <w:noWrap/>
            <w:vAlign w:val="center"/>
          </w:tcPr>
          <w:p w14:paraId="2F07DE90">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2025年</w:t>
            </w:r>
          </w:p>
          <w:p w14:paraId="7FB967C8">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baseline"/>
              <w:rPr>
                <w:rFonts w:hint="eastAsia" w:ascii="仿宋" w:eastAsia="仿宋" w:cs="仿宋"/>
                <w:color w:val="000000"/>
                <w:kern w:val="2"/>
                <w:sz w:val="24"/>
                <w:szCs w:val="24"/>
                <w:highlight w:val="none"/>
                <w:lang w:val="en-US" w:eastAsia="zh-CN" w:bidi="ar-SA"/>
              </w:rPr>
            </w:pPr>
            <w:r>
              <w:rPr>
                <w:rFonts w:hint="eastAsia" w:ascii="仿宋" w:eastAsia="仿宋" w:cs="仿宋"/>
                <w:color w:val="000000"/>
                <w:kern w:val="2"/>
                <w:sz w:val="24"/>
                <w:szCs w:val="24"/>
                <w:highlight w:val="none"/>
                <w:lang w:val="en-US" w:eastAsia="zh-CN" w:bidi="ar-SA"/>
              </w:rPr>
              <w:t>10月31日</w:t>
            </w:r>
          </w:p>
        </w:tc>
        <w:tc>
          <w:tcPr>
            <w:tcW w:w="997" w:type="dxa"/>
            <w:tcBorders>
              <w:tl2br w:val="nil"/>
              <w:tr2bl w:val="nil"/>
            </w:tcBorders>
            <w:noWrap/>
            <w:vAlign w:val="center"/>
          </w:tcPr>
          <w:p w14:paraId="62738377">
            <w:pPr>
              <w:keepNext w:val="0"/>
              <w:keepLines w:val="0"/>
              <w:pageBreakBefore w:val="0"/>
              <w:widowControl w:val="0"/>
              <w:suppressLineNumbers w:val="0"/>
              <w:kinsoku w:val="0"/>
              <w:wordWrap/>
              <w:overflowPunct/>
              <w:topLinePunct w:val="0"/>
              <w:autoSpaceDE/>
              <w:autoSpaceDN/>
              <w:bidi w:val="0"/>
              <w:adjustRightInd/>
              <w:snapToGrid/>
              <w:spacing w:line="36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61CF3BAE">
            <w:pPr>
              <w:keepNext w:val="0"/>
              <w:keepLines w:val="0"/>
              <w:pageBreakBefore w:val="0"/>
              <w:widowControl w:val="0"/>
              <w:suppressLineNumbers w:val="0"/>
              <w:kinsoku w:val="0"/>
              <w:wordWrap/>
              <w:overflowPunct/>
              <w:topLinePunct w:val="0"/>
              <w:autoSpaceDE/>
              <w:autoSpaceDN/>
              <w:bidi w:val="0"/>
              <w:adjustRightInd/>
              <w:snapToGrid/>
              <w:spacing w:line="36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销号</w:t>
            </w:r>
          </w:p>
        </w:tc>
      </w:tr>
    </w:tbl>
    <w:p w14:paraId="4FD27030">
      <w:pPr>
        <w:widowControl/>
        <w:outlineLvl w:val="9"/>
        <w:rPr>
          <w:rFonts w:hint="eastAsia"/>
          <w:lang w:eastAsia="zh-CN"/>
        </w:rPr>
      </w:pPr>
    </w:p>
    <w:sectPr>
      <w:footerReference r:id="rId3" w:type="default"/>
      <w:pgSz w:w="16838" w:h="11906" w:orient="landscape"/>
      <w:pgMar w:top="1587" w:right="1701" w:bottom="1587" w:left="1587" w:header="851" w:footer="964" w:gutter="0"/>
      <w:pgNumType w:fmt="numberInDash"/>
      <w:cols w:space="720" w:num="1"/>
      <w:rtlGutter w:val="1"/>
      <w:docGrid w:type="linesAndChars" w:linePitch="615"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Luxi Sans">
    <w:altName w:val="苹方-简"/>
    <w:panose1 w:val="00000000000000000000"/>
    <w:charset w:val="00"/>
    <w:family w:val="auto"/>
    <w:pitch w:val="default"/>
    <w:sig w:usb0="00000000" w:usb1="00000000" w:usb2="00000000" w:usb3="00000000" w:csb0="00000000" w:csb1="00000000"/>
  </w:font>
  <w:font w:name="方正仿宋简体">
    <w:altName w:val="方正仿宋_GBK"/>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汉仪书宋二KW"/>
    <w:panose1 w:val="03000509000000000000"/>
    <w:charset w:val="86"/>
    <w:family w:val="script"/>
    <w:pitch w:val="default"/>
    <w:sig w:usb0="00000000" w:usb1="00000000" w:usb2="0000000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6578">
    <w:pPr>
      <w:pStyle w:val="9"/>
      <w:jc w:val="both"/>
      <w:rPr>
        <w:rFonts w:hint="eastAsia" w:ascii="宋体" w:eastAsia="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dit="trackedChanges" w:enforcement="0"/>
  <w:defaultTabStop w:val="420"/>
  <w:drawingGridHorizontalSpacing w:val="151"/>
  <w:drawingGridVerticalSpacing w:val="308"/>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DkzNjVhN2JhYTU5NjVmOWQyMzRjNjhhZWFhYmQ3ZTAifQ=="/>
  </w:docVars>
  <w:rsids>
    <w:rsidRoot w:val="00000000"/>
    <w:rsid w:val="1DA453B1"/>
    <w:rsid w:val="1FD60202"/>
    <w:rsid w:val="212776BD"/>
    <w:rsid w:val="3AA64A0C"/>
    <w:rsid w:val="56172FFC"/>
    <w:rsid w:val="572E2B65"/>
    <w:rsid w:val="5A0A04CC"/>
    <w:rsid w:val="726376B6"/>
    <w:rsid w:val="73970F70"/>
    <w:rsid w:val="C62F56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方正仿宋简体"/>
      <w:szCs w:val="20"/>
    </w:rPr>
  </w:style>
  <w:style w:type="paragraph" w:styleId="6">
    <w:name w:val="Document Map"/>
    <w:basedOn w:val="1"/>
    <w:qFormat/>
    <w:uiPriority w:val="0"/>
    <w:pPr>
      <w:shd w:val="clear" w:color="000000" w:fill="000080"/>
    </w:pPr>
  </w:style>
  <w:style w:type="paragraph" w:styleId="7">
    <w:name w:val="toc 5"/>
    <w:basedOn w:val="1"/>
    <w:next w:val="1"/>
    <w:qFormat/>
    <w:uiPriority w:val="0"/>
    <w:pPr>
      <w:ind w:left="1680"/>
    </w:pPr>
  </w:style>
  <w:style w:type="paragraph" w:styleId="8">
    <w:name w:val="toc 3"/>
    <w:basedOn w:val="1"/>
    <w:next w:val="1"/>
    <w:qFormat/>
    <w:uiPriority w:val="0"/>
    <w:pPr>
      <w:ind w:left="840"/>
    </w:pPr>
  </w:style>
  <w:style w:type="paragraph" w:styleId="9">
    <w:name w:val="footer"/>
    <w:basedOn w:val="1"/>
    <w:qFormat/>
    <w:uiPriority w:val="0"/>
    <w:pPr>
      <w:tabs>
        <w:tab w:val="center" w:pos="4153"/>
        <w:tab w:val="right" w:pos="8306"/>
      </w:tabs>
      <w:snapToGrid w:val="0"/>
      <w:jc w:val="left"/>
    </w:pPr>
    <w:rPr>
      <w:rFonts w:eastAsia="仿宋_GB2312"/>
      <w:sz w:val="18"/>
      <w:szCs w:val="18"/>
    </w:rPr>
  </w:style>
  <w:style w:type="paragraph" w:styleId="10">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4"/>
    <w:basedOn w:val="1"/>
    <w:next w:val="1"/>
    <w:qFormat/>
    <w:uiPriority w:val="0"/>
    <w:pPr>
      <w:ind w:left="1260"/>
    </w:pPr>
  </w:style>
  <w:style w:type="paragraph" w:styleId="13">
    <w:name w:val="toc 2"/>
    <w:basedOn w:val="1"/>
    <w:next w:val="1"/>
    <w:uiPriority w:val="0"/>
    <w:pPr>
      <w:ind w:left="420"/>
    </w:pPr>
  </w:style>
  <w:style w:type="paragraph" w:customStyle="1" w:styleId="16">
    <w:name w:val="Char"/>
    <w:basedOn w:val="6"/>
    <w:next w:val="1"/>
    <w:qFormat/>
    <w:uiPriority w:val="0"/>
    <w:pPr>
      <w:widowControl/>
      <w:spacing w:after="160" w:line="240" w:lineRule="exact"/>
      <w:jc w:val="left"/>
    </w:pPr>
    <w:rPr>
      <w:rFonts w:ascii="Verdana" w:hAnsi="Verdana" w:eastAsia="仿宋_GB2312"/>
      <w:kern w:val="0"/>
      <w:sz w:val="24"/>
    </w:rPr>
  </w:style>
  <w:style w:type="paragraph" w:customStyle="1" w:styleId="17">
    <w:name w:val="Default"/>
    <w:qFormat/>
    <w:uiPriority w:val="0"/>
    <w:pPr>
      <w:widowControl w:val="0"/>
      <w:autoSpaceDE w:val="0"/>
      <w:autoSpaceDN w:val="0"/>
      <w:adjustRightInd w:val="0"/>
    </w:pPr>
    <w:rPr>
      <w:rFonts w:ascii="方正小标宋_GBK" w:hAnsi="Times New Roman"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1104</Words>
  <Characters>1192</Characters>
  <Lines>136</Lines>
  <Paragraphs>83</Paragraphs>
  <TotalTime>6</TotalTime>
  <ScaleCrop>false</ScaleCrop>
  <LinksUpToDate>false</LinksUpToDate>
  <CharactersWithSpaces>1234</CharactersWithSpaces>
  <Application>WPS Office_7.5.1.8994_F1E327BC-269C-435d-A152-05C5408002CA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2025-03-07T00:34:00Z</dcterms:created>
  <dc:creator>admin1</dc:creator>
  <cp:lastModifiedBy>高幸</cp:lastModifiedBy>
  <cp:lastPrinted>2025-11-21T08:44:00Z</cp:lastPrinted>
  <dcterms:modified xsi:type="dcterms:W3CDTF">2025-11-21T10:59:57Z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6CF2B250AF770DC2ADD51F69C57AD34B_43</vt:lpwstr>
  </property>
  <property fmtid="{D5CDD505-2E9C-101B-9397-08002B2CF9AE}" pid="4" name="hmcheck_markmode">
    <vt:i4>0</vt:i4>
  </property>
  <property fmtid="{D5CDD505-2E9C-101B-9397-08002B2CF9AE}" pid="5" name="hmcheck_taskpanetype">
    <vt:i4>1</vt:i4>
  </property>
  <property fmtid="{D5CDD505-2E9C-101B-9397-08002B2CF9AE}" pid="6" name="KSOTemplateDocerSaveRecord">
    <vt:lpwstr>eyJoZGlkIjoiMjgyNjI3NmYyMmZlMmVlMmIxZTEyMzUwOGIxZjczNWQiLCJ1c2VySWQiOiIxNjYwODY4NDg4In0=</vt:lpwstr>
  </property>
</Properties>
</file>