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jc w:val="center"/>
        <w:tblCellSpacing w:w="0" w:type="dxa"/>
        <w:shd w:val="clear" w:color="auto" w:fill="FFFFFF"/>
        <w:tblCellMar>
          <w:left w:w="0" w:type="dxa"/>
          <w:right w:w="0" w:type="dxa"/>
        </w:tblCellMar>
        <w:tblLook w:val="04A0" w:firstRow="1" w:lastRow="0" w:firstColumn="1" w:lastColumn="0" w:noHBand="0" w:noVBand="1"/>
      </w:tblPr>
      <w:tblGrid>
        <w:gridCol w:w="8140"/>
      </w:tblGrid>
      <w:tr w:rsidR="00A16335" w:rsidRPr="00A16335" w:rsidTr="00A16335">
        <w:trPr>
          <w:trHeight w:val="1650"/>
          <w:tblCellSpacing w:w="0" w:type="dxa"/>
          <w:jc w:val="center"/>
        </w:trPr>
        <w:tc>
          <w:tcPr>
            <w:tcW w:w="0" w:type="auto"/>
            <w:shd w:val="clear" w:color="auto" w:fill="FFFFFF"/>
            <w:vAlign w:val="center"/>
            <w:hideMark/>
          </w:tcPr>
          <w:p w:rsidR="00A16335" w:rsidRPr="00A16335" w:rsidRDefault="00A16335" w:rsidP="00A16335">
            <w:pPr>
              <w:widowControl/>
              <w:jc w:val="center"/>
              <w:rPr>
                <w:rFonts w:ascii="Helvetica" w:eastAsia="宋体" w:hAnsi="Helvetica" w:cs="Helvetica"/>
                <w:color w:val="333333"/>
                <w:kern w:val="0"/>
                <w:sz w:val="18"/>
                <w:szCs w:val="18"/>
              </w:rPr>
            </w:pPr>
            <w:r w:rsidRPr="00A16335">
              <w:rPr>
                <w:rFonts w:ascii="Helvetica" w:eastAsia="宋体" w:hAnsi="Helvetica" w:cs="Helvetica"/>
                <w:noProof/>
                <w:color w:val="333333"/>
                <w:kern w:val="0"/>
                <w:sz w:val="18"/>
                <w:szCs w:val="18"/>
              </w:rPr>
              <mc:AlternateContent>
                <mc:Choice Requires="wps">
                  <w:drawing>
                    <wp:inline distT="0" distB="0" distL="0" distR="0">
                      <wp:extent cx="4581525" cy="914400"/>
                      <wp:effectExtent l="0" t="0" r="0" b="0"/>
                      <wp:docPr id="1" name="矩形 1" descr="https://www.mem.gov.cn/gk/gwgg/agwzlfl/tz_01/200609/W02019032746926086808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81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335" w:rsidRPr="00A16335" w:rsidRDefault="00A16335" w:rsidP="00A16335">
                                  <w:pPr>
                                    <w:widowControl/>
                                    <w:jc w:val="center"/>
                                    <w:rPr>
                                      <w:rFonts w:ascii="Helvetica" w:eastAsia="宋体" w:hAnsi="Helvetica" w:cs="Helvetica"/>
                                      <w:color w:val="333333"/>
                                      <w:kern w:val="0"/>
                                      <w:sz w:val="18"/>
                                      <w:szCs w:val="18"/>
                                    </w:rPr>
                                  </w:pPr>
                                  <w:r w:rsidRPr="00A16335">
                                    <w:rPr>
                                      <w:rFonts w:ascii="Helvetica" w:eastAsia="宋体" w:hAnsi="Helvetica" w:cs="Helvetica"/>
                                      <w:noProof/>
                                      <w:color w:val="333333"/>
                                      <w:kern w:val="0"/>
                                      <w:sz w:val="18"/>
                                      <w:szCs w:val="18"/>
                                    </w:rPr>
                                    <w:drawing>
                                      <wp:inline distT="0" distB="0" distL="0" distR="0" wp14:anchorId="22F6E4EA" wp14:editId="74B8AECF">
                                        <wp:extent cx="4581525" cy="914400"/>
                                        <wp:effectExtent l="0" t="0" r="9525" b="0"/>
                                        <wp:docPr id="2" name="图片 2" descr="https://www.mem.gov.cn/gk/gwgg/agwzlfl/tz_01/200609/W020190327469260868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em.gov.cn/gk/gwgg/agwzlfl/tz_01/200609/W02019032746926086808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1525" cy="914400"/>
                                                </a:xfrm>
                                                <a:prstGeom prst="rect">
                                                  <a:avLst/>
                                                </a:prstGeom>
                                                <a:noFill/>
                                                <a:ln>
                                                  <a:noFill/>
                                                </a:ln>
                                              </pic:spPr>
                                            </pic:pic>
                                          </a:graphicData>
                                        </a:graphic>
                                      </wp:inline>
                                    </w:drawing>
                                  </w:r>
                                </w:p>
                                <w:p w:rsidR="00A16335" w:rsidRDefault="00A16335" w:rsidP="00A16335">
                                  <w:pPr>
                                    <w:jc w:val="center"/>
                                  </w:pPr>
                                </w:p>
                              </w:txbxContent>
                            </wps:txbx>
                            <wps:bodyPr rot="0" vert="horz" wrap="square" lIns="91440" tIns="45720" rIns="91440" bIns="45720" anchor="t" anchorCtr="0" upright="1">
                              <a:noAutofit/>
                            </wps:bodyPr>
                          </wps:wsp>
                        </a:graphicData>
                      </a:graphic>
                    </wp:inline>
                  </w:drawing>
                </mc:Choice>
                <mc:Fallback>
                  <w:pict>
                    <v:rect id="矩形 1" o:spid="_x0000_s1026" alt="https://www.mem.gov.cn/gk/gwgg/agwzlfl/tz_01/200609/W020190327469260868087.jpg" style="width:360.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" filled="f" stroked="f">
                      <o:lock v:ext="edit" aspectratio="t"/>
                      <v:textbox>
                        <w:txbxContent>
                          <w:p w:rsidR="00A16335" w:rsidRPr="00A16335" w:rsidRDefault="00A16335" w:rsidP="00A16335">
                            <w:pPr>
                              <w:widowControl/>
                              <w:jc w:val="center"/>
                              <w:rPr>
                                <w:rFonts w:ascii="Helvetica" w:eastAsia="宋体" w:hAnsi="Helvetica" w:cs="Helvetica"/>
                                <w:color w:val="333333"/>
                                <w:kern w:val="0"/>
                                <w:sz w:val="18"/>
                                <w:szCs w:val="18"/>
                              </w:rPr>
                            </w:pPr>
                            <w:r w:rsidRPr="00A16335">
                              <w:rPr>
                                <w:rFonts w:ascii="Helvetica" w:eastAsia="宋体" w:hAnsi="Helvetica" w:cs="Helvetica"/>
                                <w:noProof/>
                                <w:color w:val="333333"/>
                                <w:kern w:val="0"/>
                                <w:sz w:val="18"/>
                                <w:szCs w:val="18"/>
                              </w:rPr>
                              <w:drawing>
                                <wp:inline distT="0" distB="0" distL="0" distR="0" wp14:anchorId="22F6E4EA" wp14:editId="74B8AECF">
                                  <wp:extent cx="4581525" cy="914400"/>
                                  <wp:effectExtent l="0" t="0" r="9525" b="0"/>
                                  <wp:docPr id="2" name="图片 2" descr="https://www.mem.gov.cn/gk/gwgg/agwzlfl/tz_01/200609/W020190327469260868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em.gov.cn/gk/gwgg/agwzlfl/tz_01/200609/W02019032746926086808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1525" cy="914400"/>
                                          </a:xfrm>
                                          <a:prstGeom prst="rect">
                                            <a:avLst/>
                                          </a:prstGeom>
                                          <a:noFill/>
                                          <a:ln>
                                            <a:noFill/>
                                          </a:ln>
                                        </pic:spPr>
                                      </pic:pic>
                                    </a:graphicData>
                                  </a:graphic>
                                </wp:inline>
                              </w:drawing>
                            </w:r>
                          </w:p>
                          <w:p w:rsidR="00A16335" w:rsidRDefault="00A16335" w:rsidP="00A16335">
                            <w:pPr>
                              <w:jc w:val="center"/>
                            </w:pPr>
                          </w:p>
                        </w:txbxContent>
                      </v:textbox>
                      <w10:anchorlock/>
                    </v:rect>
                  </w:pict>
                </mc:Fallback>
              </mc:AlternateContent>
            </w:r>
          </w:p>
        </w:tc>
      </w:tr>
      <w:tr w:rsidR="00A16335" w:rsidRPr="00A16335" w:rsidTr="00A16335">
        <w:trPr>
          <w:tblCellSpacing w:w="0" w:type="dxa"/>
          <w:jc w:val="center"/>
        </w:trPr>
        <w:tc>
          <w:tcPr>
            <w:tcW w:w="0" w:type="auto"/>
            <w:shd w:val="clear" w:color="auto" w:fill="FFFFFF"/>
            <w:vAlign w:val="center"/>
            <w:hideMark/>
          </w:tcPr>
          <w:p w:rsidR="00A16335" w:rsidRPr="00A16335" w:rsidRDefault="00A16335" w:rsidP="00A16335">
            <w:pPr>
              <w:widowControl/>
              <w:jc w:val="center"/>
              <w:rPr>
                <w:rFonts w:ascii="Helvetica" w:eastAsia="宋体" w:hAnsi="Helvetica" w:cs="Helvetica"/>
                <w:color w:val="333333"/>
                <w:kern w:val="0"/>
                <w:sz w:val="18"/>
                <w:szCs w:val="18"/>
              </w:rPr>
            </w:pPr>
            <w:r w:rsidRPr="00A16335">
              <w:rPr>
                <w:rFonts w:ascii="Helvetica" w:eastAsia="宋体" w:hAnsi="Helvetica" w:cs="Helvetica"/>
                <w:color w:val="333333"/>
                <w:kern w:val="0"/>
                <w:sz w:val="18"/>
                <w:szCs w:val="18"/>
              </w:rPr>
              <w:t>安委〔</w:t>
            </w:r>
            <w:r w:rsidRPr="00A16335">
              <w:rPr>
                <w:rFonts w:ascii="Helvetica" w:eastAsia="宋体" w:hAnsi="Helvetica" w:cs="Helvetica"/>
                <w:color w:val="333333"/>
                <w:kern w:val="0"/>
                <w:sz w:val="18"/>
                <w:szCs w:val="18"/>
              </w:rPr>
              <w:t>2006</w:t>
            </w:r>
            <w:r w:rsidRPr="00A16335">
              <w:rPr>
                <w:rFonts w:ascii="Helvetica" w:eastAsia="宋体" w:hAnsi="Helvetica" w:cs="Helvetica"/>
                <w:color w:val="333333"/>
                <w:kern w:val="0"/>
                <w:sz w:val="18"/>
                <w:szCs w:val="18"/>
              </w:rPr>
              <w:t>〕</w:t>
            </w:r>
            <w:r w:rsidRPr="00A16335">
              <w:rPr>
                <w:rFonts w:ascii="Helvetica" w:eastAsia="宋体" w:hAnsi="Helvetica" w:cs="Helvetica"/>
                <w:color w:val="333333"/>
                <w:kern w:val="0"/>
                <w:sz w:val="18"/>
                <w:szCs w:val="18"/>
              </w:rPr>
              <w:t>3</w:t>
            </w:r>
            <w:r w:rsidRPr="00A16335">
              <w:rPr>
                <w:rFonts w:ascii="Helvetica" w:eastAsia="宋体" w:hAnsi="Helvetica" w:cs="Helvetica"/>
                <w:color w:val="333333"/>
                <w:kern w:val="0"/>
                <w:sz w:val="18"/>
                <w:szCs w:val="18"/>
              </w:rPr>
              <w:t>号</w:t>
            </w:r>
          </w:p>
        </w:tc>
      </w:tr>
      <w:tr w:rsidR="00A16335" w:rsidRPr="00A16335" w:rsidTr="00A16335">
        <w:trPr>
          <w:tblCellSpacing w:w="0" w:type="dxa"/>
          <w:jc w:val="center"/>
        </w:trPr>
        <w:tc>
          <w:tcPr>
            <w:tcW w:w="0" w:type="auto"/>
            <w:shd w:val="clear" w:color="auto" w:fill="FFFFFF"/>
            <w:vAlign w:val="center"/>
            <w:hideMark/>
          </w:tcPr>
          <w:p w:rsidR="00A16335" w:rsidRPr="00A16335" w:rsidRDefault="00A16335" w:rsidP="00A16335">
            <w:pPr>
              <w:widowControl/>
              <w:jc w:val="left"/>
              <w:rPr>
                <w:rFonts w:ascii="Helvetica" w:eastAsia="宋体" w:hAnsi="Helvetica" w:cs="Helvetica"/>
                <w:color w:val="333333"/>
                <w:kern w:val="0"/>
                <w:sz w:val="18"/>
                <w:szCs w:val="18"/>
              </w:rPr>
            </w:pPr>
            <w:r w:rsidRPr="00A16335">
              <w:rPr>
                <w:rFonts w:ascii="Helvetica" w:eastAsia="宋体" w:hAnsi="Helvetica" w:cs="Helvetica"/>
                <w:color w:val="333333"/>
                <w:kern w:val="0"/>
                <w:sz w:val="18"/>
                <w:szCs w:val="18"/>
              </w:rPr>
              <w:pict>
                <v:rect id="_x0000_i1025" style="width:0;height:2.25pt" o:hralign="center" o:hrstd="t" o:hrnoshade="t" o:hr="t" fillcolor="#e91414" stroked="f"/>
              </w:pict>
            </w:r>
          </w:p>
        </w:tc>
      </w:tr>
      <w:tr w:rsidR="00A16335" w:rsidRPr="00A16335" w:rsidTr="00A16335">
        <w:trPr>
          <w:trHeight w:val="450"/>
          <w:tblCellSpacing w:w="0" w:type="dxa"/>
          <w:jc w:val="center"/>
        </w:trPr>
        <w:tc>
          <w:tcPr>
            <w:tcW w:w="0" w:type="auto"/>
            <w:shd w:val="clear" w:color="auto" w:fill="FFFFFF"/>
            <w:vAlign w:val="center"/>
            <w:hideMark/>
          </w:tcPr>
          <w:p w:rsidR="00A16335" w:rsidRPr="00A16335" w:rsidRDefault="00A16335" w:rsidP="00A16335">
            <w:pPr>
              <w:widowControl/>
              <w:jc w:val="left"/>
              <w:rPr>
                <w:rFonts w:ascii="Helvetica" w:eastAsia="宋体" w:hAnsi="Helvetica" w:cs="Helvetica"/>
                <w:color w:val="333333"/>
                <w:kern w:val="0"/>
                <w:sz w:val="18"/>
                <w:szCs w:val="18"/>
              </w:rPr>
            </w:pPr>
            <w:r w:rsidRPr="00A16335">
              <w:rPr>
                <w:rFonts w:ascii="Helvetica" w:eastAsia="宋体" w:hAnsi="Helvetica" w:cs="Helvetica"/>
                <w:color w:val="333333"/>
                <w:kern w:val="0"/>
                <w:sz w:val="18"/>
                <w:szCs w:val="18"/>
              </w:rPr>
              <w:t xml:space="preserve">　</w:t>
            </w:r>
          </w:p>
        </w:tc>
      </w:tr>
      <w:tr w:rsidR="00A16335" w:rsidRPr="00A16335" w:rsidTr="00A16335">
        <w:trPr>
          <w:trHeight w:val="450"/>
          <w:tblCellSpacing w:w="0" w:type="dxa"/>
          <w:jc w:val="center"/>
        </w:trPr>
        <w:tc>
          <w:tcPr>
            <w:tcW w:w="0" w:type="auto"/>
            <w:shd w:val="clear" w:color="auto" w:fill="FFFFFF"/>
            <w:vAlign w:val="center"/>
            <w:hideMark/>
          </w:tcPr>
          <w:p w:rsidR="00A16335" w:rsidRPr="00A16335" w:rsidRDefault="00A16335" w:rsidP="00A16335">
            <w:pPr>
              <w:widowControl/>
              <w:jc w:val="center"/>
              <w:rPr>
                <w:rFonts w:ascii="Helvetica" w:eastAsia="宋体" w:hAnsi="Helvetica" w:cs="Helvetica"/>
                <w:color w:val="333333"/>
                <w:kern w:val="0"/>
                <w:sz w:val="18"/>
                <w:szCs w:val="18"/>
              </w:rPr>
            </w:pPr>
            <w:r w:rsidRPr="00A16335">
              <w:rPr>
                <w:rFonts w:ascii="宋体" w:eastAsia="宋体" w:hAnsi="宋体" w:cs="Helvetica"/>
                <w:color w:val="333333"/>
                <w:kern w:val="0"/>
                <w:sz w:val="27"/>
                <w:szCs w:val="27"/>
              </w:rPr>
              <w:t>国务院安全生产委员会关于进一步严厉打击非法生产经营烟花爆竹行为的通知</w:t>
            </w:r>
            <w:bookmarkStart w:id="0" w:name="_GoBack"/>
            <w:bookmarkEnd w:id="0"/>
          </w:p>
        </w:tc>
      </w:tr>
      <w:tr w:rsidR="00A16335" w:rsidRPr="00A16335" w:rsidTr="00A16335">
        <w:trPr>
          <w:trHeight w:val="375"/>
          <w:tblCellSpacing w:w="0" w:type="dxa"/>
          <w:jc w:val="center"/>
        </w:trPr>
        <w:tc>
          <w:tcPr>
            <w:tcW w:w="0" w:type="auto"/>
            <w:shd w:val="clear" w:color="auto" w:fill="FFFFFF"/>
            <w:vAlign w:val="center"/>
            <w:hideMark/>
          </w:tcPr>
          <w:p w:rsidR="00A16335" w:rsidRPr="00A16335" w:rsidRDefault="00A16335" w:rsidP="00A16335">
            <w:pPr>
              <w:widowControl/>
              <w:jc w:val="left"/>
              <w:rPr>
                <w:rFonts w:ascii="Helvetica" w:eastAsia="宋体" w:hAnsi="Helvetica" w:cs="Helvetica"/>
                <w:color w:val="333333"/>
                <w:kern w:val="0"/>
                <w:sz w:val="18"/>
                <w:szCs w:val="18"/>
              </w:rPr>
            </w:pPr>
            <w:r w:rsidRPr="00A16335">
              <w:rPr>
                <w:rFonts w:ascii="Helvetica" w:eastAsia="宋体" w:hAnsi="Helvetica" w:cs="Helvetica"/>
                <w:color w:val="333333"/>
                <w:kern w:val="0"/>
                <w:sz w:val="18"/>
                <w:szCs w:val="18"/>
              </w:rPr>
              <w:t> </w:t>
            </w:r>
          </w:p>
        </w:tc>
      </w:tr>
      <w:tr w:rsidR="00A16335" w:rsidRPr="00A16335" w:rsidTr="00A16335">
        <w:trPr>
          <w:trHeight w:val="1500"/>
          <w:tblCellSpacing w:w="0" w:type="dxa"/>
          <w:jc w:val="center"/>
        </w:trPr>
        <w:tc>
          <w:tcPr>
            <w:tcW w:w="0" w:type="auto"/>
            <w:shd w:val="clear" w:color="auto" w:fill="FFFFFF"/>
            <w:hideMark/>
          </w:tcPr>
          <w:p w:rsidR="00A16335" w:rsidRPr="00A16335" w:rsidRDefault="00A16335" w:rsidP="00A16335">
            <w:pPr>
              <w:widowControl/>
              <w:jc w:val="left"/>
              <w:rPr>
                <w:rFonts w:ascii="宋体" w:eastAsia="宋体" w:hAnsi="宋体" w:cs="Helvetica"/>
                <w:color w:val="333333"/>
                <w:kern w:val="0"/>
                <w:sz w:val="27"/>
                <w:szCs w:val="27"/>
              </w:rPr>
            </w:pPr>
            <w:r w:rsidRPr="00A16335">
              <w:rPr>
                <w:rFonts w:ascii="宋体" w:eastAsia="宋体" w:hAnsi="宋体" w:cs="Helvetica"/>
                <w:color w:val="333333"/>
                <w:kern w:val="0"/>
                <w:sz w:val="27"/>
                <w:szCs w:val="27"/>
              </w:rPr>
              <w:t>各省、自治区、直辖市人民政府，国务院各部委、各直属机构：</w:t>
            </w:r>
          </w:p>
          <w:p w:rsidR="00A16335" w:rsidRPr="00A16335" w:rsidRDefault="00A16335" w:rsidP="00A16335">
            <w:pPr>
              <w:widowControl/>
              <w:spacing w:line="300" w:lineRule="atLeast"/>
              <w:jc w:val="left"/>
              <w:rPr>
                <w:rFonts w:ascii="宋体" w:eastAsia="宋体" w:hAnsi="宋体" w:cs="Helvetica"/>
                <w:color w:val="333333"/>
                <w:kern w:val="0"/>
                <w:sz w:val="27"/>
                <w:szCs w:val="27"/>
              </w:rPr>
            </w:pPr>
            <w:r w:rsidRPr="00A16335">
              <w:rPr>
                <w:rFonts w:ascii="宋体" w:eastAsia="宋体" w:hAnsi="宋体" w:cs="Helvetica" w:hint="eastAsia"/>
                <w:color w:val="333333"/>
                <w:kern w:val="0"/>
                <w:sz w:val="27"/>
                <w:szCs w:val="27"/>
              </w:rPr>
              <w:t xml:space="preserve">　　自2004年实施安全生产许可制度以来，烟花爆竹生产准入标准进一步提高，一大批非法和不具备安全生产条件的烟花爆竹生产企业和家庭作坊被依法关闭，烟花爆竹安全生产状况有所改善。但受市场需求旺盛的影响，今年以来，一些地区非法生产经营烟花爆竹行为明显增多，导致的重特大事故时有发生，非法生产经营已成为烟花爆竹事故多发频发的重要原因。1至7月，全国共发生烟花爆竹事故84起，死亡132人，比去年同期分别增加68％和11％。其中，因非法生产导致的事故29起，死亡67人，分别占总事故起数和死亡人数的35％和51％。这些情况充分暴露出一些地区打击取缔和处罚非法生产经营烟花爆竹行为的力度有待进一步加大，安全监管工作存在一些薄弱环节。为严厉打击非法生产经营烟花爆竹行为，有效遏制烟花爆竹事故上升的势头，保障人民群众生命财产安全，经国务院同意，现就有关事项通知如下：</w:t>
            </w:r>
          </w:p>
          <w:p w:rsidR="00A16335" w:rsidRPr="00A16335" w:rsidRDefault="00A16335" w:rsidP="00A16335">
            <w:pPr>
              <w:widowControl/>
              <w:spacing w:line="300" w:lineRule="atLeast"/>
              <w:jc w:val="left"/>
              <w:rPr>
                <w:rFonts w:ascii="宋体" w:eastAsia="宋体" w:hAnsi="宋体" w:cs="Helvetica" w:hint="eastAsia"/>
                <w:color w:val="333333"/>
                <w:kern w:val="0"/>
                <w:sz w:val="27"/>
                <w:szCs w:val="27"/>
              </w:rPr>
            </w:pPr>
            <w:r w:rsidRPr="00A16335">
              <w:rPr>
                <w:rFonts w:ascii="宋体" w:eastAsia="宋体" w:hAnsi="宋体" w:cs="Helvetica" w:hint="eastAsia"/>
                <w:color w:val="333333"/>
                <w:kern w:val="0"/>
                <w:sz w:val="27"/>
                <w:szCs w:val="27"/>
              </w:rPr>
              <w:t xml:space="preserve">　　一、切实加强对打击非法生产经营烟花爆竹工作的组织领导</w:t>
            </w:r>
          </w:p>
          <w:p w:rsidR="00A16335" w:rsidRPr="00A16335" w:rsidRDefault="00A16335" w:rsidP="00A16335">
            <w:pPr>
              <w:widowControl/>
              <w:spacing w:line="300" w:lineRule="atLeast"/>
              <w:jc w:val="left"/>
              <w:rPr>
                <w:rFonts w:ascii="宋体" w:eastAsia="宋体" w:hAnsi="宋体" w:cs="Helvetica" w:hint="eastAsia"/>
                <w:color w:val="333333"/>
                <w:kern w:val="0"/>
                <w:sz w:val="27"/>
                <w:szCs w:val="27"/>
              </w:rPr>
            </w:pPr>
            <w:r w:rsidRPr="00A16335">
              <w:rPr>
                <w:rFonts w:ascii="宋体" w:eastAsia="宋体" w:hAnsi="宋体" w:cs="Helvetica" w:hint="eastAsia"/>
                <w:color w:val="333333"/>
                <w:kern w:val="0"/>
                <w:sz w:val="27"/>
                <w:szCs w:val="27"/>
              </w:rPr>
              <w:lastRenderedPageBreak/>
              <w:t xml:space="preserve">　　各地区、各部门要以对党、对人民高度负责的精神，从实现安全发展、保障人民群众生命财产安全和构建社会主义和谐社会的高度，充分认识严厉打击非法生产经营烟花爆竹行为的极端重要性和必要性，切实增强工作责任感和紧迫感，认真贯彻落实《烟花爆竹安全管理条例》，把严厉打击非法生产经营烟花爆竹工作作为当前的一项重要任务，加强组织领导，明确工作职责，加大工作力度，标本兼治、综合治理，确保取得实实在在的成效，实现烟花爆竹安全生产状况的根本好转。各级公安、安全监管、质检、工商等部门要在当地政府的统一领导下，建立联合执法机制，按照职责分工，精心组织、密切配合，依法查处各类非法生产经营烟花爆竹行为。</w:t>
            </w:r>
          </w:p>
          <w:p w:rsidR="00A16335" w:rsidRPr="00A16335" w:rsidRDefault="00A16335" w:rsidP="00A16335">
            <w:pPr>
              <w:widowControl/>
              <w:spacing w:line="300" w:lineRule="atLeast"/>
              <w:jc w:val="left"/>
              <w:rPr>
                <w:rFonts w:ascii="宋体" w:eastAsia="宋体" w:hAnsi="宋体" w:cs="Helvetica" w:hint="eastAsia"/>
                <w:color w:val="333333"/>
                <w:kern w:val="0"/>
                <w:sz w:val="27"/>
                <w:szCs w:val="27"/>
              </w:rPr>
            </w:pPr>
            <w:r w:rsidRPr="00A16335">
              <w:rPr>
                <w:rFonts w:ascii="宋体" w:eastAsia="宋体" w:hAnsi="宋体" w:cs="Helvetica" w:hint="eastAsia"/>
                <w:color w:val="333333"/>
                <w:kern w:val="0"/>
                <w:sz w:val="27"/>
                <w:szCs w:val="27"/>
              </w:rPr>
              <w:t xml:space="preserve">　　二、严格落实基层人民政府监管责任</w:t>
            </w:r>
          </w:p>
          <w:p w:rsidR="00A16335" w:rsidRPr="00A16335" w:rsidRDefault="00A16335" w:rsidP="00A16335">
            <w:pPr>
              <w:widowControl/>
              <w:spacing w:line="300" w:lineRule="atLeast"/>
              <w:jc w:val="left"/>
              <w:rPr>
                <w:rFonts w:ascii="宋体" w:eastAsia="宋体" w:hAnsi="宋体" w:cs="Helvetica" w:hint="eastAsia"/>
                <w:color w:val="333333"/>
                <w:kern w:val="0"/>
                <w:sz w:val="27"/>
                <w:szCs w:val="27"/>
              </w:rPr>
            </w:pPr>
            <w:r w:rsidRPr="00A16335">
              <w:rPr>
                <w:rFonts w:ascii="宋体" w:eastAsia="宋体" w:hAnsi="宋体" w:cs="Helvetica" w:hint="eastAsia"/>
                <w:color w:val="333333"/>
                <w:kern w:val="0"/>
                <w:sz w:val="27"/>
                <w:szCs w:val="27"/>
              </w:rPr>
              <w:t xml:space="preserve">　　针对非法生产烟花爆竹行为主要集中在农村，以家庭作坊式生产为主，以及分散、隐蔽等特点，各地区要重点落实县(市、区)、乡(镇)两级人民政府的安全监管责任，切实加强基层监管力量，真正把打击非法生产经营烟花爆竹工作落到实处、落到基层。在烟花爆竹传统产区、重点产区和非法生产问题突出的地区，要设立专门的打击非法生产经营烟花爆竹工作领导协调小组，明确由县(市、区)和乡(镇)人民政府主要负责人负总责，并指定一名政府负责人牵头负责。县(市、区)人民政府要切实加强监督检查，乡(镇)人民政府要经常性地组织开展重点排查，对</w:t>
            </w:r>
            <w:proofErr w:type="gramStart"/>
            <w:r w:rsidRPr="00A16335">
              <w:rPr>
                <w:rFonts w:ascii="宋体" w:eastAsia="宋体" w:hAnsi="宋体" w:cs="Helvetica" w:hint="eastAsia"/>
                <w:color w:val="333333"/>
                <w:kern w:val="0"/>
                <w:sz w:val="27"/>
                <w:szCs w:val="27"/>
              </w:rPr>
              <w:t>重点村实行包</w:t>
            </w:r>
            <w:proofErr w:type="gramEnd"/>
            <w:r w:rsidRPr="00A16335">
              <w:rPr>
                <w:rFonts w:ascii="宋体" w:eastAsia="宋体" w:hAnsi="宋体" w:cs="Helvetica" w:hint="eastAsia"/>
                <w:color w:val="333333"/>
                <w:kern w:val="0"/>
                <w:sz w:val="27"/>
                <w:szCs w:val="27"/>
              </w:rPr>
              <w:t>村监督；村民委员会要充分发挥作用，对重点户和重点人员进行有效管理。要建立责任追究制度，对</w:t>
            </w:r>
            <w:r w:rsidRPr="00A16335">
              <w:rPr>
                <w:rFonts w:ascii="宋体" w:eastAsia="宋体" w:hAnsi="宋体" w:cs="Helvetica" w:hint="eastAsia"/>
                <w:color w:val="333333"/>
                <w:kern w:val="0"/>
                <w:sz w:val="27"/>
                <w:szCs w:val="27"/>
              </w:rPr>
              <w:lastRenderedPageBreak/>
              <w:t>打击非法生产经营烟花爆竹行为不力的，依法追究相关单位和人员的责任；构成渎职犯罪的，依法追究刑事责任。</w:t>
            </w:r>
          </w:p>
          <w:p w:rsidR="00A16335" w:rsidRPr="00A16335" w:rsidRDefault="00A16335" w:rsidP="00A16335">
            <w:pPr>
              <w:widowControl/>
              <w:spacing w:line="300" w:lineRule="atLeast"/>
              <w:jc w:val="left"/>
              <w:rPr>
                <w:rFonts w:ascii="宋体" w:eastAsia="宋体" w:hAnsi="宋体" w:cs="Helvetica" w:hint="eastAsia"/>
                <w:color w:val="333333"/>
                <w:kern w:val="0"/>
                <w:sz w:val="27"/>
                <w:szCs w:val="27"/>
              </w:rPr>
            </w:pPr>
            <w:r w:rsidRPr="00A16335">
              <w:rPr>
                <w:rFonts w:ascii="宋体" w:eastAsia="宋体" w:hAnsi="宋体" w:cs="Helvetica" w:hint="eastAsia"/>
                <w:color w:val="333333"/>
                <w:kern w:val="0"/>
                <w:sz w:val="27"/>
                <w:szCs w:val="27"/>
              </w:rPr>
              <w:t xml:space="preserve">　　三、认真组织开展部门联合执法检查</w:t>
            </w:r>
          </w:p>
          <w:p w:rsidR="00A16335" w:rsidRPr="00A16335" w:rsidRDefault="00A16335" w:rsidP="00A16335">
            <w:pPr>
              <w:widowControl/>
              <w:spacing w:line="300" w:lineRule="atLeast"/>
              <w:jc w:val="left"/>
              <w:rPr>
                <w:rFonts w:ascii="宋体" w:eastAsia="宋体" w:hAnsi="宋体" w:cs="Helvetica" w:hint="eastAsia"/>
                <w:color w:val="333333"/>
                <w:kern w:val="0"/>
                <w:sz w:val="27"/>
                <w:szCs w:val="27"/>
              </w:rPr>
            </w:pPr>
            <w:r w:rsidRPr="00A16335">
              <w:rPr>
                <w:rFonts w:ascii="宋体" w:eastAsia="宋体" w:hAnsi="宋体" w:cs="Helvetica" w:hint="eastAsia"/>
                <w:color w:val="333333"/>
                <w:kern w:val="0"/>
                <w:sz w:val="27"/>
                <w:szCs w:val="27"/>
              </w:rPr>
              <w:t xml:space="preserve">　　当前，非法生产经营烟花爆竹行为增多趋势明显，各地区要结合实际，立即组织公安、安全监管、质检、工商等相关部门开展联合执法检查，从生产、销售、储存、运输、产品质量等各个环节，切实加大对非法生产经营烟花爆竹行为的打击力度。对非法生产烟花爆竹的，要认真查清黑火药、烟火药、引火线等原料来源和烟花爆竹产品的销售渠道；对经营非法烟花爆竹产品的，要深入追查产品来源，查出非法生产窝点。对非法生产经营烟花爆竹和非法制造、买卖黑火药、烟火药、引火线等药料的，发现后要责令其立即停止非法活动，依法处以罚款，并没收非法生产经营物品及违法所得；构成违反治安管理行为的，依法给予治安管理处罚；构成犯罪的，依法追究刑事责任，真正起到警示和震慑作用。同时，要继续采取有效措施，抓好烟花爆竹专项整治其他工作。</w:t>
            </w:r>
          </w:p>
          <w:p w:rsidR="00A16335" w:rsidRPr="00A16335" w:rsidRDefault="00A16335" w:rsidP="00A16335">
            <w:pPr>
              <w:widowControl/>
              <w:spacing w:line="300" w:lineRule="atLeast"/>
              <w:jc w:val="left"/>
              <w:rPr>
                <w:rFonts w:ascii="宋体" w:eastAsia="宋体" w:hAnsi="宋体" w:cs="Helvetica" w:hint="eastAsia"/>
                <w:color w:val="333333"/>
                <w:kern w:val="0"/>
                <w:sz w:val="27"/>
                <w:szCs w:val="27"/>
              </w:rPr>
            </w:pPr>
            <w:r w:rsidRPr="00A16335">
              <w:rPr>
                <w:rFonts w:ascii="宋体" w:eastAsia="宋体" w:hAnsi="宋体" w:cs="Helvetica" w:hint="eastAsia"/>
                <w:color w:val="333333"/>
                <w:kern w:val="0"/>
                <w:sz w:val="27"/>
                <w:szCs w:val="27"/>
              </w:rPr>
              <w:t xml:space="preserve">　　四、健全完善烟花爆竹生产原料和产品管理制度</w:t>
            </w:r>
          </w:p>
          <w:p w:rsidR="00A16335" w:rsidRPr="00A16335" w:rsidRDefault="00A16335" w:rsidP="00A16335">
            <w:pPr>
              <w:widowControl/>
              <w:spacing w:line="300" w:lineRule="atLeast"/>
              <w:jc w:val="left"/>
              <w:rPr>
                <w:rFonts w:ascii="宋体" w:eastAsia="宋体" w:hAnsi="宋体" w:cs="Helvetica" w:hint="eastAsia"/>
                <w:color w:val="333333"/>
                <w:kern w:val="0"/>
                <w:sz w:val="27"/>
                <w:szCs w:val="27"/>
              </w:rPr>
            </w:pPr>
            <w:r w:rsidRPr="00A16335">
              <w:rPr>
                <w:rFonts w:ascii="宋体" w:eastAsia="宋体" w:hAnsi="宋体" w:cs="Helvetica" w:hint="eastAsia"/>
                <w:color w:val="333333"/>
                <w:kern w:val="0"/>
                <w:sz w:val="27"/>
                <w:szCs w:val="27"/>
              </w:rPr>
              <w:t xml:space="preserve">　　各地区、各部门要认真贯彻执行《国务院办公厅关于进一步加强爆炸物品安全管理的通知》(国办发〔2002〕52号)精神，进一步完善氯酸钾流向登记制度，切实加强对氯酸钾的管理，依法从严查处违规使用氯酸钾生产烟花爆竹的行为。氯酸钾生产、经营单位销售氯酸钾时，必须按照有关规定，验明购买单位的资质证明，不得向无法证明使用用途的任何单位和个人销售氯酸钾，严禁使用单位将氯酸钾转</w:t>
            </w:r>
            <w:r w:rsidRPr="00A16335">
              <w:rPr>
                <w:rFonts w:ascii="宋体" w:eastAsia="宋体" w:hAnsi="宋体" w:cs="Helvetica" w:hint="eastAsia"/>
                <w:color w:val="333333"/>
                <w:kern w:val="0"/>
                <w:sz w:val="27"/>
                <w:szCs w:val="27"/>
              </w:rPr>
              <w:lastRenderedPageBreak/>
              <w:t>卖给其他单位和个人。氯酸钾生产、经营、使用单位必须详细记录生产、销售、使用情况，记录档案要长期留存备查。要充分借助现代化技术手段，进一步完善烟花爆竹标签标识制度，加强烟花爆竹流向监控，堵塞非法烟花爆竹产品的市场流通渠道。</w:t>
            </w:r>
          </w:p>
          <w:p w:rsidR="00A16335" w:rsidRPr="00A16335" w:rsidRDefault="00A16335" w:rsidP="00A16335">
            <w:pPr>
              <w:widowControl/>
              <w:spacing w:line="300" w:lineRule="atLeast"/>
              <w:jc w:val="left"/>
              <w:rPr>
                <w:rFonts w:ascii="宋体" w:eastAsia="宋体" w:hAnsi="宋体" w:cs="Helvetica" w:hint="eastAsia"/>
                <w:color w:val="333333"/>
                <w:kern w:val="0"/>
                <w:sz w:val="27"/>
                <w:szCs w:val="27"/>
              </w:rPr>
            </w:pPr>
            <w:r w:rsidRPr="00A16335">
              <w:rPr>
                <w:rFonts w:ascii="宋体" w:eastAsia="宋体" w:hAnsi="宋体" w:cs="Helvetica" w:hint="eastAsia"/>
                <w:color w:val="333333"/>
                <w:kern w:val="0"/>
                <w:sz w:val="27"/>
                <w:szCs w:val="27"/>
              </w:rPr>
              <w:t xml:space="preserve">　　五、进一步加大宣传教育力度</w:t>
            </w:r>
          </w:p>
          <w:p w:rsidR="00A16335" w:rsidRPr="00A16335" w:rsidRDefault="00A16335" w:rsidP="00A16335">
            <w:pPr>
              <w:widowControl/>
              <w:spacing w:line="300" w:lineRule="atLeast"/>
              <w:jc w:val="left"/>
              <w:rPr>
                <w:rFonts w:ascii="宋体" w:eastAsia="宋体" w:hAnsi="宋体" w:cs="Helvetica" w:hint="eastAsia"/>
                <w:color w:val="333333"/>
                <w:kern w:val="0"/>
                <w:sz w:val="27"/>
                <w:szCs w:val="27"/>
              </w:rPr>
            </w:pPr>
            <w:r w:rsidRPr="00A16335">
              <w:rPr>
                <w:rFonts w:ascii="宋体" w:eastAsia="宋体" w:hAnsi="宋体" w:cs="Helvetica" w:hint="eastAsia"/>
                <w:color w:val="333333"/>
                <w:kern w:val="0"/>
                <w:sz w:val="27"/>
                <w:szCs w:val="27"/>
              </w:rPr>
              <w:t xml:space="preserve">　　各地区、各部门要继续做好《烟花爆竹安全管理条例》的宣传工作，把因非法生产导致的烟花爆竹事故作为典型案例，广泛宣传非法生产经营烟花爆竹行为的危险性和危害性，教育广大人民群众知法、懂法、守法，切实提高自我安全保护意识，不参与非法生产经营活动，积极举报非法生产经营烟花爆竹等违法行为。重点地区县(市、区)、乡(镇)人民政府要设立并向社会公布举报电话，建立群众举报奖励制度，群防群治，把打击非法生产经营烟花爆竹工作不断推向深入。</w:t>
            </w:r>
          </w:p>
          <w:p w:rsidR="00A16335" w:rsidRPr="00A16335" w:rsidRDefault="00A16335" w:rsidP="00A16335">
            <w:pPr>
              <w:widowControl/>
              <w:spacing w:line="300" w:lineRule="atLeast"/>
              <w:jc w:val="left"/>
              <w:rPr>
                <w:rFonts w:ascii="宋体" w:eastAsia="宋体" w:hAnsi="宋体" w:cs="Helvetica" w:hint="eastAsia"/>
                <w:color w:val="333333"/>
                <w:kern w:val="0"/>
                <w:sz w:val="27"/>
                <w:szCs w:val="27"/>
              </w:rPr>
            </w:pPr>
            <w:r w:rsidRPr="00A16335">
              <w:rPr>
                <w:rFonts w:ascii="宋体" w:eastAsia="宋体" w:hAnsi="宋体" w:cs="Helvetica" w:hint="eastAsia"/>
                <w:color w:val="333333"/>
                <w:kern w:val="0"/>
                <w:sz w:val="27"/>
                <w:szCs w:val="27"/>
              </w:rPr>
              <w:t xml:space="preserve">　　</w:t>
            </w:r>
          </w:p>
          <w:p w:rsidR="00A16335" w:rsidRPr="00A16335" w:rsidRDefault="00A16335" w:rsidP="00A16335">
            <w:pPr>
              <w:widowControl/>
              <w:spacing w:line="300" w:lineRule="atLeast"/>
              <w:jc w:val="left"/>
              <w:rPr>
                <w:rFonts w:ascii="宋体" w:eastAsia="宋体" w:hAnsi="宋体" w:cs="Helvetica" w:hint="eastAsia"/>
                <w:color w:val="333333"/>
                <w:kern w:val="0"/>
                <w:sz w:val="27"/>
                <w:szCs w:val="27"/>
              </w:rPr>
            </w:pPr>
            <w:r w:rsidRPr="00A16335">
              <w:rPr>
                <w:rFonts w:ascii="宋体" w:eastAsia="宋体" w:hAnsi="宋体" w:cs="Helvetica" w:hint="eastAsia"/>
                <w:color w:val="333333"/>
                <w:kern w:val="0"/>
                <w:sz w:val="27"/>
                <w:szCs w:val="27"/>
              </w:rPr>
              <w:br/>
              <w:t>二○○六年九月十日</w:t>
            </w:r>
          </w:p>
        </w:tc>
      </w:tr>
    </w:tbl>
    <w:p w:rsidR="00F659EA" w:rsidRDefault="00F659EA">
      <w:pPr>
        <w:rPr>
          <w:rFonts w:hint="eastAsia"/>
        </w:rPr>
      </w:pPr>
    </w:p>
    <w:sectPr w:rsidR="00F65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A3"/>
    <w:rsid w:val="001632A3"/>
    <w:rsid w:val="001F51D3"/>
    <w:rsid w:val="00A16335"/>
    <w:rsid w:val="00F6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E02C6-39BF-4504-9A7E-F3C31B5A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63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518256">
      <w:bodyDiv w:val="1"/>
      <w:marLeft w:val="0"/>
      <w:marRight w:val="0"/>
      <w:marTop w:val="0"/>
      <w:marBottom w:val="0"/>
      <w:divBdr>
        <w:top w:val="none" w:sz="0" w:space="0" w:color="auto"/>
        <w:left w:val="none" w:sz="0" w:space="0" w:color="auto"/>
        <w:bottom w:val="none" w:sz="0" w:space="0" w:color="auto"/>
        <w:right w:val="none" w:sz="0" w:space="0" w:color="auto"/>
      </w:divBdr>
    </w:div>
    <w:div w:id="8232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310</Words>
  <Characters>1772</Characters>
  <Application>Microsoft Office Word</Application>
  <DocSecurity>0</DocSecurity>
  <Lines>14</Lines>
  <Paragraphs>4</Paragraphs>
  <ScaleCrop>false</ScaleCrop>
  <Company>MS</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2020-09-15T06:27:00Z</dcterms:created>
  <dcterms:modified xsi:type="dcterms:W3CDTF">2020-09-15T06:28:00Z</dcterms:modified>
</cp:coreProperties>
</file>