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81D" w:rsidRPr="00AD181D" w:rsidRDefault="00AD181D" w:rsidP="00AD181D">
      <w:pPr>
        <w:widowControl/>
        <w:spacing w:before="240" w:after="240"/>
        <w:jc w:val="center"/>
        <w:rPr>
          <w:rFonts w:ascii="微软雅黑" w:eastAsia="微软雅黑" w:hAnsi="微软雅黑" w:cs="宋体"/>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国务院安委会办公室关于做好2010年中秋节和国庆节期间安全生产工作的通知</w:t>
      </w:r>
    </w:p>
    <w:p w:rsidR="00AD181D" w:rsidRPr="00AD181D" w:rsidRDefault="00AD181D" w:rsidP="00AD181D">
      <w:pPr>
        <w:widowControl/>
        <w:spacing w:before="240" w:after="240"/>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安委办明电〔2010〕91号</w:t>
      </w:r>
    </w:p>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color w:val="000000"/>
          <w:spacing w:val="30"/>
          <w:kern w:val="0"/>
          <w:sz w:val="24"/>
          <w:szCs w:val="24"/>
        </w:rPr>
        <w:t>各省、自治区、直辖市及新疆生产建设兵团安全生产委员会，国务院有关部门，有关中央企业：</w:t>
      </w:r>
    </w:p>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color w:val="000000"/>
          <w:spacing w:val="30"/>
          <w:kern w:val="0"/>
          <w:sz w:val="24"/>
          <w:szCs w:val="24"/>
        </w:rPr>
        <w:t xml:space="preserve">　　中秋节、国庆节（以下统称“双节”）将至，为全面贯彻落实党中央、国务院关于安全生产工作的重大决策部署，认真落实《国务院关于进一步加强企业安全生产工作的通知》（国发〔2010〕23号）和《国务院安委会关于集中开展严厉打击非法违法生产经营建设行为专项行动的通知》（安委〔2010〕5号）精神，以预防为主、加强监管、落实责任为重点，有效防范和坚决遏制重特大事故的发生，保证节日期间安全生产形势稳定，确保广大人民群众过一个平安、欢乐、祥和的节日，现就有关事项通知如下：</w:t>
      </w:r>
    </w:p>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color w:val="000000"/>
          <w:spacing w:val="30"/>
          <w:kern w:val="0"/>
          <w:sz w:val="24"/>
          <w:szCs w:val="24"/>
        </w:rPr>
        <w:t xml:space="preserve">　　一、切实增强做好“双节”期间安全生产工作的责任感和主动性。“双节”处于旅游旺季，也是生产经营活动旺季，是各类生产安全事故的易发时段。做好“双节”期间安全生产各项工作，对于营造“双节”良好的安全氛围，完成今年后几个月乃至全年安全生产工作的各项目标任务，促进安全生产形势持续稳定好转，都具有重要意义。各地区、各部门和各单位要</w:t>
      </w:r>
      <w:r w:rsidRPr="00AD181D">
        <w:rPr>
          <w:rFonts w:ascii="微软雅黑" w:eastAsia="微软雅黑" w:hAnsi="微软雅黑" w:cs="宋体" w:hint="eastAsia"/>
          <w:color w:val="000000"/>
          <w:spacing w:val="30"/>
          <w:kern w:val="0"/>
          <w:sz w:val="24"/>
          <w:szCs w:val="24"/>
        </w:rPr>
        <w:lastRenderedPageBreak/>
        <w:t>从推动</w:t>
      </w:r>
      <w:proofErr w:type="gramStart"/>
      <w:r w:rsidRPr="00AD181D">
        <w:rPr>
          <w:rFonts w:ascii="微软雅黑" w:eastAsia="微软雅黑" w:hAnsi="微软雅黑" w:cs="宋体" w:hint="eastAsia"/>
          <w:color w:val="000000"/>
          <w:spacing w:val="30"/>
          <w:kern w:val="0"/>
          <w:sz w:val="24"/>
          <w:szCs w:val="24"/>
        </w:rPr>
        <w:t>安全发展</w:t>
      </w:r>
      <w:proofErr w:type="gramEnd"/>
      <w:r w:rsidRPr="00AD181D">
        <w:rPr>
          <w:rFonts w:ascii="微软雅黑" w:eastAsia="微软雅黑" w:hAnsi="微软雅黑" w:cs="宋体" w:hint="eastAsia"/>
          <w:color w:val="000000"/>
          <w:spacing w:val="30"/>
          <w:kern w:val="0"/>
          <w:sz w:val="24"/>
          <w:szCs w:val="24"/>
        </w:rPr>
        <w:t>的大局出发，以对党和人民高度负责的精神，切实把握“双节”期间安全生产的规律和特点，深入贯彻落实党中央、国务院领导同志近期关于加强安全生产工作的一系列重要指示和《国务院关于进一步加强企业安全生产工作的通知》等重要文件精神，统筹工作部署，加强组织领导，加大工作力度，解决突出问题，着力事故防范，有力维护人民群众生命财产安全。</w:t>
      </w:r>
    </w:p>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color w:val="000000"/>
          <w:spacing w:val="30"/>
          <w:kern w:val="0"/>
          <w:sz w:val="24"/>
          <w:szCs w:val="24"/>
        </w:rPr>
        <w:t xml:space="preserve">　　二、严格落实“双节”期间安全生产责任制。各地区、各部门和各单位要采取有力措施，切实加强对“双节”期间安全生产工作的领导，进一步强化政府行政首长负责制和安全生产“一岗双责”制，切实落实地方各级政府和相关部门安全监管责任。地方各级政府主要负责人要亲自抓、负总责，各相关部门要各司其职、各负其责、分口把守，紧紧盯住安全生产基础薄弱、隐患和问题较多、生产安全事故多发频发的地方和单位，落实安全监管责任，严格责任考核奖惩，抓实、抓细、抓好“双节”期间的安全监管工作。企业法定代表人要高度重视 “双节”期间的安全生产工作，主要负责人要亲自部署，把安全责任落实到每个环节、每个岗位和每个职工；要严格执行有关安全生产法律法规和规章标准，严格执行企业尤其是煤矿、非煤矿山等企业领导班子成员作业现场带班下井制度，不折不扣地落实企业安全生产主体责任，坚决杜绝各类生产安全事故的发生。</w:t>
      </w:r>
    </w:p>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color w:val="000000"/>
          <w:spacing w:val="30"/>
          <w:kern w:val="0"/>
          <w:sz w:val="24"/>
          <w:szCs w:val="24"/>
        </w:rPr>
        <w:lastRenderedPageBreak/>
        <w:t xml:space="preserve">　　三、深入扎实推进集中打击非法违法生产经营建设行为专项行动。各地区、各部门和各单位要认真贯彻落实《国务院安委会关于集中开展严厉打击非法违法生产经营建设行为专项行动的通知》精神，加大宣传力度，加强社会监督，营造有利于对非法违法生产经营建设行为实施严厉打击的浓厚氛围和强大声势。要突出煤矿、非煤矿山、交通运输、建筑施工、危险化学品、烟花爆竹、民用爆炸物品、冶金等重点行业和领域，特别要针对在煤炭资源整合、兼并重组和技改过程中一些煤矿的非法违法生产行为，集中时间、集中力量，强化工作措施、强化联合执法，彻底查处本地区、本行业（领域）各类非法违法生产、经营和建设行为，依法严惩一批严重非法违法行为。地方各级安委会及其办公室要组织开展多形式、多渠道的督促检查活动，落实事故查处挂牌督办制度，对打击非法违法生产经营建设行为不力的地区和单位，要予以曝光并依法依规追究相关责任，坚决扭转一些地方和行业（领域）非法违法现象反弹回潮的严重态势，努力在防范遏制重特大事故上取得明显成效。</w:t>
      </w:r>
    </w:p>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color w:val="000000"/>
          <w:spacing w:val="30"/>
          <w:kern w:val="0"/>
          <w:sz w:val="24"/>
          <w:szCs w:val="24"/>
        </w:rPr>
        <w:t xml:space="preserve">　　四、加大重点行业（领域）安全监管监察力度。要加强煤矿安全监管监察工作，坚决杜绝超能力、超强度、超定员生产行为。要加强非煤矿山安全监管，严防透水淹井、尾矿库垮坝、排土场坍塌及炮烟中毒等重特大事故的发生。要加强危险化学品生产、储存、经营、运输、使用和废弃处置各环节的安</w:t>
      </w:r>
      <w:r w:rsidRPr="00AD181D">
        <w:rPr>
          <w:rFonts w:ascii="微软雅黑" w:eastAsia="微软雅黑" w:hAnsi="微软雅黑" w:cs="宋体" w:hint="eastAsia"/>
          <w:color w:val="000000"/>
          <w:spacing w:val="30"/>
          <w:kern w:val="0"/>
          <w:sz w:val="24"/>
          <w:szCs w:val="24"/>
        </w:rPr>
        <w:lastRenderedPageBreak/>
        <w:t>全监管，严防危险化学品在运输过程中丢失、流散或泄漏，严禁通过滚装船、集装箱等运载工具在水上运输剧毒化学品。要加强烟花爆竹生产、经营、储存、运输、燃放等各个环节的安全管理，严肃查处非法违法生产、经营、储存、运输和燃放烟花爆竹的行为。要加强交通运输安全管理，加大对交通运输企业、重点路段的监督检查力度，严禁超速行驶、疲劳驾驶、超载超限、违法载人等严重违法违规行为。加强对人员密集场所、旅游场所和大型群众活动的安全监管监察，落实安全防范措施和应急预案，严防拥挤踩踏造成群死群伤事故。要全面落实建筑施工、民爆器材、冶金、电力等行业（领域）安全生产措施，加强监督管理，有效防范各类生产安全事故。</w:t>
      </w:r>
    </w:p>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color w:val="000000"/>
          <w:spacing w:val="30"/>
          <w:kern w:val="0"/>
          <w:sz w:val="24"/>
          <w:szCs w:val="24"/>
        </w:rPr>
        <w:t xml:space="preserve">　　五、切实加强“双节”期间应急值守工作。各地区、各有关部门和单位要高度重视“双节”期间值班工作，严格执行领导干部到岗带班和关键岗位24小时值班制度，严格落实企业现场带班人员、班组长和调度人员在遇到险情时第一时间下达撤人命令的决策权和指挥权。要加强对安全生产重点行业（领域）、重要设施、重点单位和部门以及人员密集场所各项应急准备工作的检查，切实完善应急预案、强化应急演练，确保应急组织机构、救援队伍、装备、物资等应急资源的落实，确保遇有突发事故能及时有效进行处置。要严格执行事故信息报告制度，全面做好生产安全事故和其他紧急突发事件的信息报送和处理工作，确保事故信息和其他重要信息及时、准确上报。</w:t>
      </w:r>
    </w:p>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color w:val="000000"/>
          <w:spacing w:val="30"/>
          <w:kern w:val="0"/>
          <w:sz w:val="24"/>
          <w:szCs w:val="24"/>
        </w:rPr>
        <w:lastRenderedPageBreak/>
        <w:t xml:space="preserve">　　各地区、各有关部门和单位要紧密结合本地区、本部门、本单位实际</w:t>
      </w:r>
      <w:proofErr w:type="gramStart"/>
      <w:r w:rsidRPr="00AD181D">
        <w:rPr>
          <w:rFonts w:ascii="微软雅黑" w:eastAsia="微软雅黑" w:hAnsi="微软雅黑" w:cs="宋体" w:hint="eastAsia"/>
          <w:color w:val="000000"/>
          <w:spacing w:val="30"/>
          <w:kern w:val="0"/>
          <w:sz w:val="24"/>
          <w:szCs w:val="24"/>
        </w:rPr>
        <w:t>作出</w:t>
      </w:r>
      <w:proofErr w:type="gramEnd"/>
      <w:r w:rsidRPr="00AD181D">
        <w:rPr>
          <w:rFonts w:ascii="微软雅黑" w:eastAsia="微软雅黑" w:hAnsi="微软雅黑" w:cs="宋体" w:hint="eastAsia"/>
          <w:color w:val="000000"/>
          <w:spacing w:val="30"/>
          <w:kern w:val="0"/>
          <w:sz w:val="24"/>
          <w:szCs w:val="24"/>
        </w:rPr>
        <w:t>进一步部署，并请各省级安委会将本通知转发到地方各级有关部门贯彻落实，安排各省级安全监管局和煤矿安全监察机构将国庆节期间负责人及调度人员值班安排情况（见附表1），各省级煤矿安全监察机构将本地区各类煤矿国庆节期间停产检修、放假安排情况（见附表2），于9月21日前报送国家安全监管总局统计司。</w:t>
      </w:r>
    </w:p>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color w:val="000000"/>
          <w:spacing w:val="30"/>
          <w:kern w:val="0"/>
          <w:sz w:val="24"/>
          <w:szCs w:val="24"/>
        </w:rPr>
        <w:t xml:space="preserve">　　联系电话：010-64211843、64214078、64234662（传真）</w:t>
      </w:r>
    </w:p>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color w:val="000000"/>
          <w:spacing w:val="30"/>
          <w:kern w:val="0"/>
          <w:sz w:val="24"/>
          <w:szCs w:val="24"/>
        </w:rPr>
        <w:t xml:space="preserve">　　电子邮箱：ddc@chinasafety.gov.cn</w:t>
      </w:r>
    </w:p>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附表1：2010年国庆节期间各省级安全监管局和煤矿安全监察机构负责人及调度值班人员安排情况表</w:t>
      </w:r>
    </w:p>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color w:val="000000"/>
          <w:spacing w:val="30"/>
          <w:kern w:val="0"/>
          <w:sz w:val="24"/>
          <w:szCs w:val="24"/>
        </w:rPr>
        <w:t>填报单位： </w:t>
      </w:r>
      <w:r w:rsidRPr="00AD181D">
        <w:rPr>
          <w:rFonts w:ascii="微软雅黑" w:eastAsia="微软雅黑" w:hAnsi="微软雅黑" w:cs="宋体" w:hint="eastAsia"/>
          <w:b/>
          <w:bCs/>
          <w:color w:val="000000"/>
          <w:spacing w:val="30"/>
          <w:kern w:val="0"/>
          <w:sz w:val="29"/>
          <w:szCs w:val="29"/>
        </w:rPr>
        <w:t>                                                                 </w:t>
      </w:r>
      <w:r w:rsidRPr="00AD181D">
        <w:rPr>
          <w:rFonts w:ascii="微软雅黑" w:eastAsia="微软雅黑" w:hAnsi="微软雅黑" w:cs="宋体" w:hint="eastAsia"/>
          <w:color w:val="000000"/>
          <w:spacing w:val="30"/>
          <w:kern w:val="0"/>
          <w:sz w:val="24"/>
          <w:szCs w:val="24"/>
        </w:rPr>
        <w:t>      区号：</w:t>
      </w:r>
    </w:p>
    <w:tbl>
      <w:tblPr>
        <w:tblW w:w="0" w:type="dxa"/>
        <w:tblCellMar>
          <w:top w:w="15" w:type="dxa"/>
          <w:left w:w="15" w:type="dxa"/>
          <w:bottom w:w="15" w:type="dxa"/>
          <w:right w:w="15" w:type="dxa"/>
        </w:tblCellMar>
        <w:tblLook w:val="04A0" w:firstRow="1" w:lastRow="0" w:firstColumn="1" w:lastColumn="0" w:noHBand="0" w:noVBand="1"/>
      </w:tblPr>
      <w:tblGrid>
        <w:gridCol w:w="1154"/>
        <w:gridCol w:w="613"/>
        <w:gridCol w:w="1160"/>
        <w:gridCol w:w="692"/>
        <w:gridCol w:w="728"/>
        <w:gridCol w:w="716"/>
        <w:gridCol w:w="1157"/>
        <w:gridCol w:w="690"/>
        <w:gridCol w:w="690"/>
        <w:gridCol w:w="690"/>
      </w:tblGrid>
      <w:tr w:rsidR="00AD181D" w:rsidRPr="00AD181D" w:rsidTr="00AD181D">
        <w:trPr>
          <w:trHeight w:val="600"/>
        </w:trPr>
        <w:tc>
          <w:tcPr>
            <w:tcW w:w="141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日  期</w:t>
            </w:r>
          </w:p>
        </w:tc>
        <w:tc>
          <w:tcPr>
            <w:tcW w:w="1035"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班次</w:t>
            </w:r>
          </w:p>
        </w:tc>
        <w:tc>
          <w:tcPr>
            <w:tcW w:w="6060" w:type="dxa"/>
            <w:gridSpan w:val="4"/>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领导值班</w:t>
            </w:r>
          </w:p>
        </w:tc>
        <w:tc>
          <w:tcPr>
            <w:tcW w:w="5670" w:type="dxa"/>
            <w:gridSpan w:val="4"/>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调度值班</w:t>
            </w:r>
          </w:p>
        </w:tc>
      </w:tr>
      <w:tr w:rsidR="00AD181D" w:rsidRPr="00AD181D" w:rsidTr="00AD181D">
        <w:trPr>
          <w:trHeight w:val="6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姓  名</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办公电话</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移动电话</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住宅电话</w:t>
            </w: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姓  名</w:t>
            </w: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值班电话</w:t>
            </w: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移动电话</w:t>
            </w: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值班传真</w:t>
            </w:r>
          </w:p>
        </w:tc>
      </w:tr>
      <w:tr w:rsidR="00AD181D" w:rsidRPr="00AD181D" w:rsidTr="00AD181D">
        <w:tc>
          <w:tcPr>
            <w:tcW w:w="14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lastRenderedPageBreak/>
              <w:t>10月1日</w:t>
            </w:r>
          </w:p>
        </w:tc>
        <w:tc>
          <w:tcPr>
            <w:tcW w:w="10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白班</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c>
          <w:tcPr>
            <w:tcW w:w="0" w:type="auto"/>
            <w:vMerge/>
            <w:tcBorders>
              <w:top w:val="nil"/>
              <w:left w:val="single" w:sz="6" w:space="0" w:color="auto"/>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10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夜班</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c>
          <w:tcPr>
            <w:tcW w:w="14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10月2日</w:t>
            </w:r>
          </w:p>
        </w:tc>
        <w:tc>
          <w:tcPr>
            <w:tcW w:w="10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白班</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c>
          <w:tcPr>
            <w:tcW w:w="0" w:type="auto"/>
            <w:vMerge/>
            <w:tcBorders>
              <w:top w:val="nil"/>
              <w:left w:val="single" w:sz="6" w:space="0" w:color="auto"/>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10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夜班</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c>
          <w:tcPr>
            <w:tcW w:w="14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10月3日</w:t>
            </w:r>
          </w:p>
        </w:tc>
        <w:tc>
          <w:tcPr>
            <w:tcW w:w="10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白班</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c>
          <w:tcPr>
            <w:tcW w:w="0" w:type="auto"/>
            <w:vMerge/>
            <w:tcBorders>
              <w:top w:val="nil"/>
              <w:left w:val="single" w:sz="6" w:space="0" w:color="auto"/>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10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夜班</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c>
          <w:tcPr>
            <w:tcW w:w="14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10月4日</w:t>
            </w:r>
          </w:p>
        </w:tc>
        <w:tc>
          <w:tcPr>
            <w:tcW w:w="10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白班</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c>
          <w:tcPr>
            <w:tcW w:w="0" w:type="auto"/>
            <w:vMerge/>
            <w:tcBorders>
              <w:top w:val="nil"/>
              <w:left w:val="single" w:sz="6" w:space="0" w:color="auto"/>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10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夜班</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c>
          <w:tcPr>
            <w:tcW w:w="14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10月5日</w:t>
            </w:r>
          </w:p>
        </w:tc>
        <w:tc>
          <w:tcPr>
            <w:tcW w:w="10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白班</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c>
          <w:tcPr>
            <w:tcW w:w="0" w:type="auto"/>
            <w:vMerge/>
            <w:tcBorders>
              <w:top w:val="nil"/>
              <w:left w:val="single" w:sz="6" w:space="0" w:color="auto"/>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10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夜班</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c>
          <w:tcPr>
            <w:tcW w:w="14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lastRenderedPageBreak/>
              <w:t>10月6日</w:t>
            </w:r>
          </w:p>
        </w:tc>
        <w:tc>
          <w:tcPr>
            <w:tcW w:w="10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白班</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c>
          <w:tcPr>
            <w:tcW w:w="0" w:type="auto"/>
            <w:vMerge/>
            <w:tcBorders>
              <w:top w:val="nil"/>
              <w:left w:val="single" w:sz="6" w:space="0" w:color="auto"/>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10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夜班</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rPr>
          <w:trHeight w:val="330"/>
        </w:trPr>
        <w:tc>
          <w:tcPr>
            <w:tcW w:w="14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10月7日</w:t>
            </w:r>
          </w:p>
        </w:tc>
        <w:tc>
          <w:tcPr>
            <w:tcW w:w="10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白班</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rPr>
          <w:trHeight w:val="300"/>
        </w:trPr>
        <w:tc>
          <w:tcPr>
            <w:tcW w:w="0" w:type="auto"/>
            <w:vMerge/>
            <w:tcBorders>
              <w:top w:val="nil"/>
              <w:left w:val="single" w:sz="6" w:space="0" w:color="auto"/>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10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夜班</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bl>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 </w:t>
      </w:r>
    </w:p>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附表2：2010年国庆节期间各类煤矿停产检修安排情况表</w:t>
      </w:r>
    </w:p>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color w:val="000000"/>
          <w:spacing w:val="30"/>
          <w:kern w:val="0"/>
          <w:sz w:val="24"/>
          <w:szCs w:val="24"/>
        </w:rPr>
        <w:t>填报单位：                                                                       能力：万吨/年</w:t>
      </w:r>
    </w:p>
    <w:tbl>
      <w:tblPr>
        <w:tblW w:w="0" w:type="dxa"/>
        <w:tblCellMar>
          <w:top w:w="15" w:type="dxa"/>
          <w:left w:w="15" w:type="dxa"/>
          <w:bottom w:w="15" w:type="dxa"/>
          <w:right w:w="15" w:type="dxa"/>
        </w:tblCellMar>
        <w:tblLook w:val="04A0" w:firstRow="1" w:lastRow="0" w:firstColumn="1" w:lastColumn="0" w:noHBand="0" w:noVBand="1"/>
      </w:tblPr>
      <w:tblGrid>
        <w:gridCol w:w="1117"/>
        <w:gridCol w:w="723"/>
        <w:gridCol w:w="727"/>
        <w:gridCol w:w="723"/>
        <w:gridCol w:w="727"/>
        <w:gridCol w:w="723"/>
        <w:gridCol w:w="727"/>
        <w:gridCol w:w="727"/>
        <w:gridCol w:w="727"/>
        <w:gridCol w:w="1369"/>
      </w:tblGrid>
      <w:tr w:rsidR="00AD181D" w:rsidRPr="00AD181D" w:rsidTr="00AD181D">
        <w:trPr>
          <w:trHeight w:val="375"/>
        </w:trPr>
        <w:tc>
          <w:tcPr>
            <w:tcW w:w="162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spacing w:after="150"/>
              <w:jc w:val="left"/>
              <w:rPr>
                <w:rFonts w:ascii="微软雅黑" w:eastAsia="微软雅黑" w:hAnsi="微软雅黑" w:cs="宋体" w:hint="eastAsia"/>
                <w:color w:val="000000"/>
                <w:spacing w:val="30"/>
                <w:kern w:val="0"/>
                <w:sz w:val="24"/>
                <w:szCs w:val="24"/>
              </w:rPr>
            </w:pPr>
          </w:p>
        </w:tc>
        <w:tc>
          <w:tcPr>
            <w:tcW w:w="2835" w:type="dxa"/>
            <w:gridSpan w:val="2"/>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在籍矿井</w:t>
            </w:r>
          </w:p>
        </w:tc>
        <w:tc>
          <w:tcPr>
            <w:tcW w:w="5625" w:type="dxa"/>
            <w:gridSpan w:val="6"/>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其中</w:t>
            </w:r>
          </w:p>
        </w:tc>
        <w:tc>
          <w:tcPr>
            <w:tcW w:w="1425"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宋体" w:eastAsia="宋体" w:hAnsi="宋体" w:cs="宋体" w:hint="eastAsia"/>
                <w:b/>
                <w:bCs/>
                <w:color w:val="000000"/>
                <w:spacing w:val="30"/>
                <w:kern w:val="0"/>
                <w:sz w:val="24"/>
                <w:szCs w:val="24"/>
              </w:rPr>
              <w:t> </w:t>
            </w:r>
          </w:p>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宋体" w:eastAsia="宋体" w:hAnsi="宋体" w:cs="宋体" w:hint="eastAsia"/>
                <w:b/>
                <w:bCs/>
                <w:color w:val="000000"/>
                <w:spacing w:val="30"/>
                <w:kern w:val="0"/>
                <w:sz w:val="24"/>
                <w:szCs w:val="24"/>
              </w:rPr>
              <w:t> </w:t>
            </w:r>
          </w:p>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备</w:t>
            </w:r>
            <w:r w:rsidRPr="00AD181D">
              <w:rPr>
                <w:rFonts w:ascii="宋体" w:eastAsia="宋体" w:hAnsi="宋体" w:cs="宋体" w:hint="eastAsia"/>
                <w:b/>
                <w:bCs/>
                <w:color w:val="000000"/>
                <w:spacing w:val="30"/>
                <w:kern w:val="0"/>
                <w:sz w:val="24"/>
                <w:szCs w:val="24"/>
              </w:rPr>
              <w:t>  </w:t>
            </w:r>
            <w:r w:rsidRPr="00AD181D">
              <w:rPr>
                <w:rFonts w:ascii="微软雅黑" w:eastAsia="微软雅黑" w:hAnsi="微软雅黑" w:cs="宋体" w:hint="eastAsia"/>
                <w:b/>
                <w:bCs/>
                <w:color w:val="000000"/>
                <w:spacing w:val="30"/>
                <w:kern w:val="0"/>
                <w:sz w:val="24"/>
                <w:szCs w:val="24"/>
              </w:rPr>
              <w:t>注</w:t>
            </w:r>
          </w:p>
        </w:tc>
      </w:tr>
      <w:tr w:rsidR="00AD181D" w:rsidRPr="00AD181D" w:rsidTr="00AD181D">
        <w:tc>
          <w:tcPr>
            <w:tcW w:w="0" w:type="auto"/>
            <w:vMerge/>
            <w:tcBorders>
              <w:top w:val="single" w:sz="6" w:space="0" w:color="auto"/>
              <w:left w:val="single" w:sz="6" w:space="0" w:color="auto"/>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0" w:type="auto"/>
            <w:gridSpan w:val="2"/>
            <w:vMerge/>
            <w:tcBorders>
              <w:top w:val="single" w:sz="6" w:space="0" w:color="auto"/>
              <w:left w:val="nil"/>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28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正常生产矿井</w:t>
            </w:r>
          </w:p>
        </w:tc>
        <w:tc>
          <w:tcPr>
            <w:tcW w:w="5670"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停产放假矿井</w:t>
            </w:r>
          </w:p>
        </w:tc>
        <w:tc>
          <w:tcPr>
            <w:tcW w:w="0" w:type="auto"/>
            <w:vMerge/>
            <w:tcBorders>
              <w:top w:val="single" w:sz="6" w:space="0" w:color="auto"/>
              <w:left w:val="nil"/>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r>
      <w:tr w:rsidR="00AD181D" w:rsidRPr="00AD181D" w:rsidTr="00AD181D">
        <w:tc>
          <w:tcPr>
            <w:tcW w:w="0" w:type="auto"/>
            <w:vMerge/>
            <w:tcBorders>
              <w:top w:val="single" w:sz="6" w:space="0" w:color="auto"/>
              <w:left w:val="single" w:sz="6" w:space="0" w:color="auto"/>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141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proofErr w:type="gramStart"/>
            <w:r w:rsidRPr="00AD181D">
              <w:rPr>
                <w:rFonts w:ascii="微软雅黑" w:eastAsia="微软雅黑" w:hAnsi="微软雅黑" w:cs="宋体" w:hint="eastAsia"/>
                <w:b/>
                <w:bCs/>
                <w:color w:val="000000"/>
                <w:spacing w:val="30"/>
                <w:kern w:val="0"/>
                <w:sz w:val="24"/>
                <w:szCs w:val="24"/>
              </w:rPr>
              <w:t>处数</w:t>
            </w:r>
            <w:proofErr w:type="gramEnd"/>
          </w:p>
        </w:tc>
        <w:tc>
          <w:tcPr>
            <w:tcW w:w="141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能力</w:t>
            </w:r>
          </w:p>
        </w:tc>
        <w:tc>
          <w:tcPr>
            <w:tcW w:w="141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proofErr w:type="gramStart"/>
            <w:r w:rsidRPr="00AD181D">
              <w:rPr>
                <w:rFonts w:ascii="微软雅黑" w:eastAsia="微软雅黑" w:hAnsi="微软雅黑" w:cs="宋体" w:hint="eastAsia"/>
                <w:b/>
                <w:bCs/>
                <w:color w:val="000000"/>
                <w:spacing w:val="30"/>
                <w:kern w:val="0"/>
                <w:sz w:val="24"/>
                <w:szCs w:val="24"/>
              </w:rPr>
              <w:t>处数</w:t>
            </w:r>
            <w:proofErr w:type="gramEnd"/>
          </w:p>
        </w:tc>
        <w:tc>
          <w:tcPr>
            <w:tcW w:w="141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能力</w:t>
            </w:r>
          </w:p>
        </w:tc>
        <w:tc>
          <w:tcPr>
            <w:tcW w:w="141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proofErr w:type="gramStart"/>
            <w:r w:rsidRPr="00AD181D">
              <w:rPr>
                <w:rFonts w:ascii="微软雅黑" w:eastAsia="微软雅黑" w:hAnsi="微软雅黑" w:cs="宋体" w:hint="eastAsia"/>
                <w:b/>
                <w:bCs/>
                <w:color w:val="000000"/>
                <w:spacing w:val="30"/>
                <w:kern w:val="0"/>
                <w:sz w:val="24"/>
                <w:szCs w:val="24"/>
              </w:rPr>
              <w:t>处数</w:t>
            </w:r>
            <w:proofErr w:type="gramEnd"/>
          </w:p>
        </w:tc>
        <w:tc>
          <w:tcPr>
            <w:tcW w:w="142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能力</w:t>
            </w:r>
          </w:p>
        </w:tc>
        <w:tc>
          <w:tcPr>
            <w:tcW w:w="283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其中：检修矿井</w:t>
            </w:r>
          </w:p>
        </w:tc>
        <w:tc>
          <w:tcPr>
            <w:tcW w:w="0" w:type="auto"/>
            <w:vMerge/>
            <w:tcBorders>
              <w:top w:val="single" w:sz="6" w:space="0" w:color="auto"/>
              <w:left w:val="nil"/>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r>
      <w:tr w:rsidR="00AD181D" w:rsidRPr="00AD181D" w:rsidTr="00AD181D">
        <w:tc>
          <w:tcPr>
            <w:tcW w:w="0" w:type="auto"/>
            <w:vMerge/>
            <w:tcBorders>
              <w:top w:val="single" w:sz="6" w:space="0" w:color="auto"/>
              <w:left w:val="single" w:sz="6" w:space="0" w:color="auto"/>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0" w:type="auto"/>
            <w:vMerge/>
            <w:tcBorders>
              <w:top w:val="nil"/>
              <w:left w:val="nil"/>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0" w:type="auto"/>
            <w:vMerge/>
            <w:tcBorders>
              <w:top w:val="nil"/>
              <w:left w:val="nil"/>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0" w:type="auto"/>
            <w:vMerge/>
            <w:tcBorders>
              <w:top w:val="nil"/>
              <w:left w:val="nil"/>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0" w:type="auto"/>
            <w:vMerge/>
            <w:tcBorders>
              <w:top w:val="nil"/>
              <w:left w:val="nil"/>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0" w:type="auto"/>
            <w:vMerge/>
            <w:tcBorders>
              <w:top w:val="nil"/>
              <w:left w:val="nil"/>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0" w:type="auto"/>
            <w:vMerge/>
            <w:tcBorders>
              <w:top w:val="nil"/>
              <w:left w:val="nil"/>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proofErr w:type="gramStart"/>
            <w:r w:rsidRPr="00AD181D">
              <w:rPr>
                <w:rFonts w:ascii="微软雅黑" w:eastAsia="微软雅黑" w:hAnsi="微软雅黑" w:cs="宋体" w:hint="eastAsia"/>
                <w:b/>
                <w:bCs/>
                <w:color w:val="000000"/>
                <w:spacing w:val="30"/>
                <w:kern w:val="0"/>
                <w:sz w:val="24"/>
                <w:szCs w:val="24"/>
              </w:rPr>
              <w:t>处数</w:t>
            </w:r>
            <w:proofErr w:type="gramEnd"/>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能力</w:t>
            </w:r>
          </w:p>
        </w:tc>
        <w:tc>
          <w:tcPr>
            <w:tcW w:w="0" w:type="auto"/>
            <w:vMerge/>
            <w:tcBorders>
              <w:top w:val="single" w:sz="6" w:space="0" w:color="auto"/>
              <w:left w:val="nil"/>
              <w:bottom w:val="single" w:sz="6" w:space="0" w:color="auto"/>
              <w:right w:val="single" w:sz="6" w:space="0" w:color="auto"/>
            </w:tcBorders>
            <w:vAlign w:val="center"/>
            <w:hideMark/>
          </w:tcPr>
          <w:p w:rsidR="00AD181D" w:rsidRPr="00AD181D" w:rsidRDefault="00AD181D" w:rsidP="00AD181D">
            <w:pPr>
              <w:widowControl/>
              <w:jc w:val="left"/>
              <w:rPr>
                <w:rFonts w:ascii="微软雅黑" w:eastAsia="微软雅黑" w:hAnsi="微软雅黑" w:cs="宋体"/>
                <w:color w:val="000000"/>
                <w:spacing w:val="30"/>
                <w:kern w:val="0"/>
                <w:sz w:val="24"/>
                <w:szCs w:val="24"/>
              </w:rPr>
            </w:pPr>
          </w:p>
        </w:tc>
      </w:tr>
      <w:tr w:rsidR="00AD181D" w:rsidRPr="00AD181D" w:rsidTr="00AD181D">
        <w:tc>
          <w:tcPr>
            <w:tcW w:w="16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lastRenderedPageBreak/>
              <w:t>合计</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c>
          <w:tcPr>
            <w:tcW w:w="16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宋体" w:eastAsia="宋体" w:hAnsi="宋体" w:cs="宋体" w:hint="eastAsia"/>
                <w:b/>
                <w:bCs/>
                <w:color w:val="000000"/>
                <w:spacing w:val="30"/>
                <w:kern w:val="0"/>
                <w:sz w:val="24"/>
                <w:szCs w:val="24"/>
              </w:rPr>
              <w:t>1</w:t>
            </w:r>
            <w:r w:rsidRPr="00AD181D">
              <w:rPr>
                <w:rFonts w:ascii="微软雅黑" w:eastAsia="微软雅黑" w:hAnsi="微软雅黑" w:cs="宋体" w:hint="eastAsia"/>
                <w:b/>
                <w:bCs/>
                <w:color w:val="000000"/>
                <w:spacing w:val="30"/>
                <w:kern w:val="0"/>
                <w:sz w:val="24"/>
                <w:szCs w:val="24"/>
              </w:rPr>
              <w:t>．国有重点</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c>
          <w:tcPr>
            <w:tcW w:w="16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c>
          <w:tcPr>
            <w:tcW w:w="16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c>
          <w:tcPr>
            <w:tcW w:w="16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b/>
                <w:bCs/>
                <w:color w:val="000000"/>
                <w:spacing w:val="30"/>
                <w:kern w:val="0"/>
                <w:sz w:val="24"/>
                <w:szCs w:val="24"/>
              </w:rPr>
              <w:t>……</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c>
          <w:tcPr>
            <w:tcW w:w="16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宋体" w:eastAsia="宋体" w:hAnsi="宋体" w:cs="宋体" w:hint="eastAsia"/>
                <w:b/>
                <w:bCs/>
                <w:color w:val="000000"/>
                <w:spacing w:val="30"/>
                <w:kern w:val="0"/>
                <w:sz w:val="24"/>
                <w:szCs w:val="24"/>
              </w:rPr>
              <w:t>2</w:t>
            </w:r>
            <w:r w:rsidRPr="00AD181D">
              <w:rPr>
                <w:rFonts w:ascii="微软雅黑" w:eastAsia="微软雅黑" w:hAnsi="微软雅黑" w:cs="宋体" w:hint="eastAsia"/>
                <w:b/>
                <w:bCs/>
                <w:color w:val="000000"/>
                <w:spacing w:val="30"/>
                <w:kern w:val="0"/>
                <w:sz w:val="24"/>
                <w:szCs w:val="24"/>
              </w:rPr>
              <w:t>．国有地方</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r w:rsidR="00AD181D" w:rsidRPr="00AD181D" w:rsidTr="00AD181D">
        <w:tc>
          <w:tcPr>
            <w:tcW w:w="16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center"/>
              <w:rPr>
                <w:rFonts w:ascii="微软雅黑" w:eastAsia="微软雅黑" w:hAnsi="微软雅黑" w:cs="宋体" w:hint="eastAsia"/>
                <w:color w:val="000000"/>
                <w:spacing w:val="30"/>
                <w:kern w:val="0"/>
                <w:sz w:val="24"/>
                <w:szCs w:val="24"/>
              </w:rPr>
            </w:pPr>
            <w:r w:rsidRPr="00AD181D">
              <w:rPr>
                <w:rFonts w:ascii="宋体" w:eastAsia="宋体" w:hAnsi="宋体" w:cs="宋体" w:hint="eastAsia"/>
                <w:b/>
                <w:bCs/>
                <w:color w:val="000000"/>
                <w:spacing w:val="30"/>
                <w:kern w:val="0"/>
                <w:sz w:val="24"/>
                <w:szCs w:val="24"/>
              </w:rPr>
              <w:t>3</w:t>
            </w:r>
            <w:r w:rsidRPr="00AD181D">
              <w:rPr>
                <w:rFonts w:ascii="微软雅黑" w:eastAsia="微软雅黑" w:hAnsi="微软雅黑" w:cs="宋体" w:hint="eastAsia"/>
                <w:b/>
                <w:bCs/>
                <w:color w:val="000000"/>
                <w:spacing w:val="30"/>
                <w:kern w:val="0"/>
                <w:sz w:val="24"/>
                <w:szCs w:val="24"/>
              </w:rPr>
              <w:t>．乡镇煤矿</w:t>
            </w: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D181D" w:rsidRPr="00AD181D" w:rsidRDefault="00AD181D" w:rsidP="00AD181D">
            <w:pPr>
              <w:widowControl/>
              <w:jc w:val="left"/>
              <w:rPr>
                <w:rFonts w:ascii="微软雅黑" w:eastAsia="微软雅黑" w:hAnsi="微软雅黑" w:cs="宋体" w:hint="eastAsia"/>
                <w:color w:val="000000"/>
                <w:spacing w:val="30"/>
                <w:kern w:val="0"/>
                <w:sz w:val="24"/>
                <w:szCs w:val="24"/>
              </w:rPr>
            </w:pPr>
          </w:p>
        </w:tc>
      </w:tr>
    </w:tbl>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p>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color w:val="000000"/>
          <w:spacing w:val="30"/>
          <w:kern w:val="0"/>
          <w:sz w:val="24"/>
          <w:szCs w:val="24"/>
        </w:rPr>
        <w:t>说明：放假、检修、生产矿井的时间在备注中注明。</w:t>
      </w:r>
    </w:p>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r w:rsidRPr="00AD181D">
        <w:rPr>
          <w:rFonts w:ascii="微软雅黑" w:eastAsia="微软雅黑" w:hAnsi="微软雅黑" w:cs="宋体" w:hint="eastAsia"/>
          <w:color w:val="000000"/>
          <w:spacing w:val="30"/>
          <w:kern w:val="0"/>
          <w:sz w:val="24"/>
          <w:szCs w:val="24"/>
        </w:rPr>
        <w:t>国务院安全生产委员会办公室</w:t>
      </w:r>
    </w:p>
    <w:p w:rsidR="00AD181D" w:rsidRPr="00AD181D" w:rsidRDefault="00AD181D" w:rsidP="00AD181D">
      <w:pPr>
        <w:widowControl/>
        <w:spacing w:before="240" w:after="240"/>
        <w:jc w:val="left"/>
        <w:rPr>
          <w:rFonts w:ascii="微软雅黑" w:eastAsia="微软雅黑" w:hAnsi="微软雅黑" w:cs="宋体" w:hint="eastAsia"/>
          <w:color w:val="000000"/>
          <w:spacing w:val="30"/>
          <w:kern w:val="0"/>
          <w:sz w:val="24"/>
          <w:szCs w:val="24"/>
        </w:rPr>
      </w:pPr>
      <w:bookmarkStart w:id="0" w:name="_GoBack"/>
      <w:bookmarkEnd w:id="0"/>
      <w:r w:rsidRPr="00AD181D">
        <w:rPr>
          <w:rFonts w:ascii="微软雅黑" w:eastAsia="微软雅黑" w:hAnsi="微软雅黑" w:cs="宋体" w:hint="eastAsia"/>
          <w:color w:val="000000"/>
          <w:spacing w:val="30"/>
          <w:kern w:val="0"/>
          <w:sz w:val="24"/>
          <w:szCs w:val="24"/>
        </w:rPr>
        <w:t>二〇一〇年九月十六日</w:t>
      </w:r>
    </w:p>
    <w:p w:rsidR="001D2F13" w:rsidRPr="00AD181D" w:rsidRDefault="001D2F13" w:rsidP="00AD181D"/>
    <w:sectPr w:rsidR="001D2F13" w:rsidRPr="00AD1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E0"/>
    <w:rsid w:val="001D2F13"/>
    <w:rsid w:val="00464DE0"/>
    <w:rsid w:val="00AD1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17600-D0DF-4D93-98FD-73C721D5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DE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4D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710872">
      <w:bodyDiv w:val="1"/>
      <w:marLeft w:val="0"/>
      <w:marRight w:val="0"/>
      <w:marTop w:val="0"/>
      <w:marBottom w:val="0"/>
      <w:divBdr>
        <w:top w:val="none" w:sz="0" w:space="0" w:color="auto"/>
        <w:left w:val="none" w:sz="0" w:space="0" w:color="auto"/>
        <w:bottom w:val="none" w:sz="0" w:space="0" w:color="auto"/>
        <w:right w:val="none" w:sz="0" w:space="0" w:color="auto"/>
      </w:divBdr>
    </w:div>
    <w:div w:id="74260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478</Words>
  <Characters>2727</Characters>
  <Application>Microsoft Office Word</Application>
  <DocSecurity>0</DocSecurity>
  <Lines>22</Lines>
  <Paragraphs>6</Paragraphs>
  <ScaleCrop>false</ScaleCrop>
  <Company>MS</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2020-09-11T06:57:00Z</dcterms:created>
  <dcterms:modified xsi:type="dcterms:W3CDTF">2020-09-11T06:57:00Z</dcterms:modified>
</cp:coreProperties>
</file>