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6F" w:rsidRPr="00220C88" w:rsidRDefault="00220C88" w:rsidP="00220C88">
      <w:pPr>
        <w:jc w:val="left"/>
        <w:rPr>
          <w:rFonts w:ascii="黑体" w:eastAsia="黑体" w:hAnsi="黑体"/>
          <w:sz w:val="32"/>
          <w:szCs w:val="32"/>
        </w:rPr>
      </w:pPr>
      <w:r w:rsidRPr="00220C88">
        <w:rPr>
          <w:rFonts w:ascii="黑体" w:eastAsia="黑体" w:hAnsi="黑体" w:hint="eastAsia"/>
          <w:sz w:val="32"/>
          <w:szCs w:val="32"/>
        </w:rPr>
        <w:t>附件4</w:t>
      </w:r>
    </w:p>
    <w:p w:rsidR="00E3286F" w:rsidRPr="008D6A96" w:rsidRDefault="00E3286F" w:rsidP="00120065">
      <w:pPr>
        <w:jc w:val="center"/>
        <w:rPr>
          <w:rFonts w:ascii="宋体"/>
          <w:sz w:val="24"/>
          <w:szCs w:val="24"/>
        </w:rPr>
      </w:pPr>
    </w:p>
    <w:p w:rsidR="00220C88" w:rsidRDefault="00E3286F" w:rsidP="00120065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220C88">
        <w:rPr>
          <w:rFonts w:asciiTheme="minorEastAsia" w:eastAsiaTheme="minorEastAsia" w:hAnsiTheme="minorEastAsia"/>
          <w:sz w:val="44"/>
          <w:szCs w:val="44"/>
        </w:rPr>
        <w:t>2014</w:t>
      </w:r>
      <w:r w:rsidRPr="00220C88">
        <w:rPr>
          <w:rFonts w:asciiTheme="minorEastAsia" w:eastAsiaTheme="minorEastAsia" w:hAnsiTheme="minorEastAsia" w:hint="eastAsia"/>
          <w:sz w:val="44"/>
          <w:szCs w:val="44"/>
        </w:rPr>
        <w:t>年安全生产“三化”建设年度</w:t>
      </w:r>
    </w:p>
    <w:p w:rsidR="00E3286F" w:rsidRDefault="00E3286F" w:rsidP="00120065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220C88">
        <w:rPr>
          <w:rFonts w:asciiTheme="minorEastAsia" w:eastAsiaTheme="minorEastAsia" w:hAnsiTheme="minorEastAsia" w:hint="eastAsia"/>
          <w:sz w:val="44"/>
          <w:szCs w:val="44"/>
        </w:rPr>
        <w:t>目标责任考核内容及分值</w:t>
      </w:r>
    </w:p>
    <w:p w:rsidR="00E3286F" w:rsidRPr="008D6A96" w:rsidRDefault="00E3286F">
      <w:pPr>
        <w:rPr>
          <w:rFonts w:ascii="仿宋_GB2312" w:eastAsia="仿宋_GB2312"/>
          <w:sz w:val="24"/>
          <w:szCs w:val="24"/>
        </w:rPr>
      </w:pPr>
    </w:p>
    <w:tbl>
      <w:tblPr>
        <w:tblW w:w="95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4211"/>
        <w:gridCol w:w="864"/>
        <w:gridCol w:w="3456"/>
      </w:tblGrid>
      <w:tr w:rsidR="00E3286F" w:rsidRPr="00220C88" w:rsidTr="00155517">
        <w:trPr>
          <w:trHeight w:val="1013"/>
        </w:trPr>
        <w:tc>
          <w:tcPr>
            <w:tcW w:w="975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总分</w:t>
            </w:r>
          </w:p>
        </w:tc>
        <w:tc>
          <w:tcPr>
            <w:tcW w:w="4211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bookmarkStart w:id="0" w:name="_GoBack"/>
            <w:bookmarkEnd w:id="0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考核内容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分值</w:t>
            </w:r>
          </w:p>
        </w:tc>
        <w:tc>
          <w:tcPr>
            <w:tcW w:w="3456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考核办法</w:t>
            </w:r>
          </w:p>
        </w:tc>
      </w:tr>
      <w:tr w:rsidR="00E3286F" w:rsidRPr="00220C88" w:rsidTr="00155517">
        <w:trPr>
          <w:trHeight w:val="862"/>
        </w:trPr>
        <w:tc>
          <w:tcPr>
            <w:tcW w:w="975" w:type="dxa"/>
            <w:vMerge w:val="restart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12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分</w:t>
            </w:r>
          </w:p>
        </w:tc>
        <w:tc>
          <w:tcPr>
            <w:tcW w:w="4211" w:type="dxa"/>
            <w:vAlign w:val="center"/>
          </w:tcPr>
          <w:p w:rsidR="00E3286F" w:rsidRPr="00220C88" w:rsidRDefault="00220C88" w:rsidP="00220C88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 w:rsidR="00E3286F" w:rsidRPr="00220C88">
              <w:rPr>
                <w:rFonts w:ascii="仿宋_GB2312" w:eastAsia="仿宋_GB2312" w:hAnsi="楷体" w:hint="eastAsia"/>
                <w:sz w:val="24"/>
                <w:szCs w:val="24"/>
              </w:rPr>
              <w:t>按要求下发本市</w:t>
            </w:r>
            <w:r w:rsidR="005C597A">
              <w:rPr>
                <w:rFonts w:ascii="仿宋_GB2312" w:eastAsia="仿宋_GB2312" w:hAnsi="楷体" w:hint="eastAsia"/>
                <w:sz w:val="24"/>
                <w:szCs w:val="24"/>
              </w:rPr>
              <w:t>（县）</w:t>
            </w:r>
            <w:r w:rsidR="00E3286F" w:rsidRPr="00220C88">
              <w:rPr>
                <w:rFonts w:ascii="仿宋_GB2312" w:eastAsia="仿宋_GB2312" w:hAnsi="楷体" w:hint="eastAsia"/>
                <w:sz w:val="24"/>
                <w:szCs w:val="24"/>
              </w:rPr>
              <w:t>《“三化”建设实施方案》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</w:p>
        </w:tc>
        <w:tc>
          <w:tcPr>
            <w:tcW w:w="3456" w:type="dxa"/>
            <w:vMerge w:val="restart"/>
            <w:vAlign w:val="center"/>
          </w:tcPr>
          <w:p w:rsidR="00E3286F" w:rsidRPr="00220C88" w:rsidRDefault="00E3286F" w:rsidP="00220C88">
            <w:pPr>
              <w:ind w:firstLineChars="150" w:firstLine="36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、每一项考核内容的分值，平均到该市和其下辖所有的县（区），即市、县（区）为一个平均分值考核单位。</w:t>
            </w:r>
          </w:p>
          <w:p w:rsidR="00E3286F" w:rsidRPr="00220C88" w:rsidRDefault="00E3286F" w:rsidP="00220C88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2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、市、县（区）考核内容全部完成时，给满分，未完成的，按平均分值扣分。（如某市下辖</w:t>
            </w:r>
            <w:r w:rsidRPr="00220C88">
              <w:rPr>
                <w:rFonts w:ascii="仿宋_GB2312" w:eastAsia="仿宋_GB2312" w:hAnsi="楷体"/>
                <w:sz w:val="24"/>
                <w:szCs w:val="24"/>
              </w:rPr>
              <w:t>10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个区（县），某项工作考核分值为</w:t>
            </w:r>
            <w:r w:rsidRPr="00220C88">
              <w:rPr>
                <w:rFonts w:ascii="仿宋_GB2312" w:eastAsia="仿宋_GB2312" w:hAnsi="楷体"/>
                <w:sz w:val="24"/>
                <w:szCs w:val="24"/>
              </w:rPr>
              <w:t>2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分，有</w:t>
            </w: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个县未完成，就扣</w:t>
            </w:r>
            <w:r w:rsidRPr="00220C88">
              <w:rPr>
                <w:rFonts w:ascii="仿宋_GB2312" w:eastAsia="仿宋_GB2312" w:hAnsi="楷体"/>
                <w:sz w:val="24"/>
                <w:szCs w:val="24"/>
              </w:rPr>
              <w:t>0.2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分）。</w:t>
            </w:r>
          </w:p>
          <w:p w:rsidR="00E3286F" w:rsidRPr="00220C88" w:rsidRDefault="00E3286F" w:rsidP="00220C88">
            <w:pPr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692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220C88" w:rsidP="00220C88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 w:rsidR="00E3286F" w:rsidRPr="00220C88">
              <w:rPr>
                <w:rFonts w:ascii="仿宋_GB2312" w:eastAsia="仿宋_GB2312" w:hAnsi="楷体" w:hint="eastAsia"/>
                <w:sz w:val="24"/>
                <w:szCs w:val="24"/>
              </w:rPr>
              <w:t>每月按时汇总上报“三化”建设进展情况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0.5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702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220C88" w:rsidP="00220C88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</w:t>
            </w:r>
            <w:r w:rsidR="00E3286F" w:rsidRPr="00220C88">
              <w:rPr>
                <w:rFonts w:ascii="仿宋_GB2312" w:eastAsia="仿宋_GB2312" w:hAnsi="楷体" w:hint="eastAsia"/>
                <w:sz w:val="24"/>
                <w:szCs w:val="24"/>
              </w:rPr>
              <w:t>组建“三化”建设的领导机构和办事机构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0.5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1193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E3286F" w:rsidP="005C597A">
            <w:pPr>
              <w:ind w:firstLineChars="150" w:firstLine="36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完成市县乡“三级”政府安全监管网</w:t>
            </w:r>
            <w:r w:rsidR="005C597A">
              <w:rPr>
                <w:rFonts w:ascii="仿宋_GB2312" w:eastAsia="仿宋_GB2312" w:hAnsi="楷体" w:hint="eastAsia"/>
                <w:sz w:val="24"/>
                <w:szCs w:val="24"/>
              </w:rPr>
              <w:t>格</w:t>
            </w: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化建设，编制网格化控制示意图，建立属地分级分类</w:t>
            </w:r>
            <w:proofErr w:type="gramStart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监管台</w:t>
            </w:r>
            <w:proofErr w:type="gramEnd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账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2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714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E3286F" w:rsidP="00220C88">
            <w:pPr>
              <w:ind w:firstLineChars="200" w:firstLine="480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建立企业</w:t>
            </w:r>
            <w:proofErr w:type="gramStart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基础台</w:t>
            </w:r>
            <w:proofErr w:type="gramEnd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帐，</w:t>
            </w:r>
            <w:proofErr w:type="gramStart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按危险</w:t>
            </w:r>
            <w:proofErr w:type="gramEnd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等级分类监管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682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E3286F" w:rsidP="00220C88">
            <w:pPr>
              <w:ind w:firstLineChars="200" w:firstLine="480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建立事故隐患台帐，严格执行“四查”制度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706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E3286F" w:rsidP="00220C88">
            <w:pPr>
              <w:ind w:firstLineChars="200" w:firstLine="480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建立监管</w:t>
            </w:r>
            <w:proofErr w:type="gramStart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责任台</w:t>
            </w:r>
            <w:proofErr w:type="gramEnd"/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帐，落实网格监管责任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235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E3286F" w:rsidP="00220C88">
            <w:pPr>
              <w:spacing w:line="400" w:lineRule="exact"/>
              <w:ind w:firstLineChars="200" w:firstLine="480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推进企业管理精细化，在煤矿、非煤矿山、危险化学品等行业开展有明显进展。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2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235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E3286F" w:rsidP="00220C88">
            <w:pPr>
              <w:spacing w:line="400" w:lineRule="exact"/>
              <w:ind w:firstLineChars="150" w:firstLine="360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 w:hint="eastAsia"/>
                <w:sz w:val="24"/>
                <w:szCs w:val="24"/>
              </w:rPr>
              <w:t>推进行业直管专业化，在执行行业规程和标准，专业化监督、检查、指导等有明显改善。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2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E3286F" w:rsidRPr="00220C88" w:rsidTr="00155517">
        <w:trPr>
          <w:trHeight w:val="235"/>
        </w:trPr>
        <w:tc>
          <w:tcPr>
            <w:tcW w:w="975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E3286F" w:rsidRPr="00220C88" w:rsidRDefault="00220C88" w:rsidP="00220C88">
            <w:pPr>
              <w:spacing w:line="400" w:lineRule="exact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sz w:val="24"/>
                <w:szCs w:val="24"/>
              </w:rPr>
              <w:t xml:space="preserve">    </w:t>
            </w:r>
            <w:r w:rsidR="00E3286F" w:rsidRPr="00220C88">
              <w:rPr>
                <w:rFonts w:ascii="仿宋_GB2312" w:eastAsia="仿宋_GB2312" w:hAnsi="楷体" w:hint="eastAsia"/>
                <w:sz w:val="24"/>
                <w:szCs w:val="24"/>
              </w:rPr>
              <w:t>在“三化”建设上有重大创新或有显著成效（如机制建设、硬件建设、资金投入、先进典型等）</w:t>
            </w:r>
          </w:p>
        </w:tc>
        <w:tc>
          <w:tcPr>
            <w:tcW w:w="864" w:type="dxa"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220C88">
              <w:rPr>
                <w:rFonts w:ascii="仿宋_GB2312" w:eastAsia="仿宋_GB2312" w:hAnsi="楷体"/>
                <w:sz w:val="24"/>
                <w:szCs w:val="24"/>
              </w:rPr>
              <w:t>1</w:t>
            </w:r>
          </w:p>
        </w:tc>
        <w:tc>
          <w:tcPr>
            <w:tcW w:w="3456" w:type="dxa"/>
            <w:vMerge/>
            <w:vAlign w:val="center"/>
          </w:tcPr>
          <w:p w:rsidR="00E3286F" w:rsidRPr="00220C88" w:rsidRDefault="00E3286F" w:rsidP="00CF1E0C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E3286F" w:rsidRPr="008D6A96" w:rsidRDefault="00E3286F">
      <w:pPr>
        <w:rPr>
          <w:rFonts w:ascii="仿宋_GB2312" w:eastAsia="仿宋_GB2312"/>
          <w:sz w:val="24"/>
          <w:szCs w:val="24"/>
        </w:rPr>
      </w:pPr>
    </w:p>
    <w:sectPr w:rsidR="00E3286F" w:rsidRPr="008D6A96" w:rsidSect="0073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69" w:rsidRDefault="00871369" w:rsidP="005A43EB">
      <w:r>
        <w:separator/>
      </w:r>
    </w:p>
  </w:endnote>
  <w:endnote w:type="continuationSeparator" w:id="0">
    <w:p w:rsidR="00871369" w:rsidRDefault="00871369" w:rsidP="005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69" w:rsidRDefault="00871369" w:rsidP="005A43EB">
      <w:r>
        <w:separator/>
      </w:r>
    </w:p>
  </w:footnote>
  <w:footnote w:type="continuationSeparator" w:id="0">
    <w:p w:rsidR="00871369" w:rsidRDefault="00871369" w:rsidP="005A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65"/>
    <w:rsid w:val="000D3419"/>
    <w:rsid w:val="000E2DE3"/>
    <w:rsid w:val="000F68DC"/>
    <w:rsid w:val="00120065"/>
    <w:rsid w:val="00155517"/>
    <w:rsid w:val="00220C88"/>
    <w:rsid w:val="00535866"/>
    <w:rsid w:val="005A43EB"/>
    <w:rsid w:val="005C597A"/>
    <w:rsid w:val="00657AEF"/>
    <w:rsid w:val="0066377D"/>
    <w:rsid w:val="00730FC0"/>
    <w:rsid w:val="00747552"/>
    <w:rsid w:val="007535FA"/>
    <w:rsid w:val="00796F03"/>
    <w:rsid w:val="0081663C"/>
    <w:rsid w:val="00871369"/>
    <w:rsid w:val="008B5F27"/>
    <w:rsid w:val="008D6A96"/>
    <w:rsid w:val="00912E70"/>
    <w:rsid w:val="00930316"/>
    <w:rsid w:val="00A01AE7"/>
    <w:rsid w:val="00A10339"/>
    <w:rsid w:val="00B26EC6"/>
    <w:rsid w:val="00B339CA"/>
    <w:rsid w:val="00B5365D"/>
    <w:rsid w:val="00C52224"/>
    <w:rsid w:val="00CF1E0C"/>
    <w:rsid w:val="00E10B94"/>
    <w:rsid w:val="00E3286F"/>
    <w:rsid w:val="00EA4B35"/>
    <w:rsid w:val="00ED2100"/>
    <w:rsid w:val="00EE026F"/>
    <w:rsid w:val="00EE3241"/>
    <w:rsid w:val="00EF1E9D"/>
    <w:rsid w:val="00FC34C3"/>
    <w:rsid w:val="00F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00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A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A43E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A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A43E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00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A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A43E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A4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A43E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2014-04-04T02:15:00Z</cp:lastPrinted>
  <dcterms:created xsi:type="dcterms:W3CDTF">2014-04-04T01:20:00Z</dcterms:created>
  <dcterms:modified xsi:type="dcterms:W3CDTF">2014-04-04T02:15:00Z</dcterms:modified>
</cp:coreProperties>
</file>