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C0D" w:rsidRDefault="00627C0D" w:rsidP="00627C0D">
      <w:pPr>
        <w:pStyle w:val="a4"/>
        <w:spacing w:line="560" w:lineRule="exact"/>
        <w:rPr>
          <w:rFonts w:ascii="Times New Roman" w:eastAsia="黑体" w:hAnsi="Times New Roman"/>
          <w:szCs w:val="32"/>
        </w:rPr>
      </w:pPr>
      <w:r>
        <w:rPr>
          <w:rFonts w:ascii="Times New Roman" w:eastAsia="黑体" w:hAnsi="Times New Roman"/>
          <w:szCs w:val="32"/>
        </w:rPr>
        <w:t>附件</w:t>
      </w:r>
      <w:r>
        <w:rPr>
          <w:rFonts w:ascii="Times New Roman" w:eastAsia="黑体" w:hAnsi="Times New Roman" w:hint="eastAsia"/>
          <w:szCs w:val="32"/>
        </w:rPr>
        <w:t>2</w:t>
      </w:r>
    </w:p>
    <w:p w:rsidR="00627C0D" w:rsidRDefault="00627C0D" w:rsidP="00627C0D">
      <w:pPr>
        <w:pStyle w:val="a4"/>
        <w:spacing w:line="400" w:lineRule="exact"/>
        <w:jc w:val="center"/>
        <w:rPr>
          <w:rFonts w:ascii="华文中宋" w:eastAsia="华文中宋" w:hAnsi="华文中宋" w:hint="eastAsia"/>
          <w:b/>
          <w:bCs/>
          <w:sz w:val="36"/>
        </w:rPr>
      </w:pPr>
    </w:p>
    <w:p w:rsidR="00627C0D" w:rsidRDefault="00627C0D" w:rsidP="00627C0D">
      <w:pPr>
        <w:pStyle w:val="a4"/>
        <w:spacing w:line="400" w:lineRule="exact"/>
        <w:jc w:val="center"/>
        <w:rPr>
          <w:rFonts w:ascii="方正小标宋简体" w:eastAsia="方正小标宋简体" w:hAnsi="方正小标宋简体" w:cs="方正小标宋简体" w:hint="eastAsia"/>
          <w:color w:val="000000"/>
          <w:sz w:val="36"/>
          <w:szCs w:val="36"/>
        </w:rPr>
      </w:pPr>
      <w:bookmarkStart w:id="0" w:name="_GoBack"/>
      <w:r>
        <w:rPr>
          <w:rFonts w:ascii="方正小标宋简体" w:eastAsia="方正小标宋简体" w:hAnsi="方正小标宋简体" w:cs="方正小标宋简体" w:hint="eastAsia"/>
          <w:sz w:val="36"/>
          <w:szCs w:val="36"/>
        </w:rPr>
        <w:t>煤矿企业安全生产主体责任落实暨安全生产许可集中执法追责问责情况统计表</w:t>
      </w:r>
    </w:p>
    <w:bookmarkEnd w:id="0"/>
    <w:p w:rsidR="00627C0D" w:rsidRDefault="00627C0D" w:rsidP="00627C0D">
      <w:pPr>
        <w:pStyle w:val="a5"/>
        <w:widowControl w:val="0"/>
        <w:spacing w:before="0" w:beforeAutospacing="0" w:after="0" w:afterAutospacing="0" w:line="400" w:lineRule="exact"/>
        <w:jc w:val="right"/>
        <w:rPr>
          <w:rFonts w:ascii="Times New Roman" w:eastAsia="楷体_GB2312" w:hAnsi="Times New Roman" w:cs="Times New Roman"/>
          <w:color w:val="000000"/>
        </w:rPr>
      </w:pPr>
    </w:p>
    <w:p w:rsidR="00627C0D" w:rsidRDefault="00627C0D" w:rsidP="00627C0D">
      <w:pPr>
        <w:pStyle w:val="a5"/>
        <w:widowControl w:val="0"/>
        <w:spacing w:before="0" w:beforeAutospacing="0" w:after="0" w:afterAutospacing="0" w:line="400" w:lineRule="exact"/>
        <w:jc w:val="right"/>
        <w:rPr>
          <w:rFonts w:hint="eastAsia"/>
          <w:color w:val="000000"/>
        </w:rPr>
      </w:pPr>
      <w:r>
        <w:rPr>
          <w:rFonts w:hint="eastAsia"/>
          <w:color w:val="000000"/>
        </w:rPr>
        <w:t>填表单位（盖章）：                                                                    统计截止日期：    年  月  日</w:t>
      </w:r>
    </w:p>
    <w:tbl>
      <w:tblPr>
        <w:tblpPr w:leftFromText="180" w:rightFromText="180" w:vertAnchor="text" w:horzAnchor="page" w:tblpX="1462"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290"/>
        <w:gridCol w:w="1245"/>
        <w:gridCol w:w="1305"/>
        <w:gridCol w:w="1081"/>
        <w:gridCol w:w="1188"/>
        <w:gridCol w:w="1134"/>
        <w:gridCol w:w="1134"/>
        <w:gridCol w:w="1134"/>
        <w:gridCol w:w="1134"/>
        <w:gridCol w:w="1212"/>
        <w:gridCol w:w="1377"/>
      </w:tblGrid>
      <w:tr w:rsidR="00627C0D" w:rsidTr="00E724E5">
        <w:trPr>
          <w:trHeight w:val="1119"/>
        </w:trPr>
        <w:tc>
          <w:tcPr>
            <w:tcW w:w="4785" w:type="dxa"/>
            <w:gridSpan w:val="4"/>
            <w:tcBorders>
              <w:top w:val="single" w:sz="12" w:space="0" w:color="auto"/>
              <w:left w:val="nil"/>
            </w:tcBorders>
            <w:vAlign w:val="center"/>
          </w:tcPr>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r>
              <w:rPr>
                <w:rFonts w:ascii="黑体" w:eastAsia="黑体" w:hAnsi="Times New Roman" w:cs="Times New Roman" w:hint="eastAsia"/>
              </w:rPr>
              <w:t>约谈</w:t>
            </w:r>
          </w:p>
        </w:tc>
        <w:tc>
          <w:tcPr>
            <w:tcW w:w="5671" w:type="dxa"/>
            <w:gridSpan w:val="5"/>
            <w:tcBorders>
              <w:top w:val="single" w:sz="12" w:space="0" w:color="auto"/>
            </w:tcBorders>
            <w:vAlign w:val="center"/>
          </w:tcPr>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r>
              <w:rPr>
                <w:rFonts w:ascii="黑体" w:eastAsia="黑体" w:hAnsi="Times New Roman" w:cs="Times New Roman" w:hint="eastAsia"/>
              </w:rPr>
              <w:t>通过执法推动煤矿企业开展责任追究</w:t>
            </w:r>
          </w:p>
        </w:tc>
        <w:tc>
          <w:tcPr>
            <w:tcW w:w="1134" w:type="dxa"/>
            <w:vMerge w:val="restart"/>
            <w:tcBorders>
              <w:top w:val="single" w:sz="12" w:space="0" w:color="auto"/>
            </w:tcBorders>
            <w:vAlign w:val="center"/>
          </w:tcPr>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r>
              <w:rPr>
                <w:rFonts w:ascii="黑体" w:eastAsia="黑体" w:hAnsi="Times New Roman" w:cs="Times New Roman" w:hint="eastAsia"/>
              </w:rPr>
              <w:t>纳入联合惩戒对象的煤矿企业（家）</w:t>
            </w:r>
          </w:p>
        </w:tc>
        <w:tc>
          <w:tcPr>
            <w:tcW w:w="1212" w:type="dxa"/>
            <w:vMerge w:val="restart"/>
            <w:tcBorders>
              <w:top w:val="single" w:sz="12" w:space="0" w:color="auto"/>
            </w:tcBorders>
            <w:vAlign w:val="center"/>
          </w:tcPr>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r>
              <w:rPr>
                <w:rFonts w:ascii="黑体" w:eastAsia="黑体" w:hAnsi="Times New Roman" w:cs="Times New Roman" w:hint="eastAsia"/>
              </w:rPr>
              <w:t>纳入安全生产不良记录“黑名单”管理煤矿企业（家）</w:t>
            </w:r>
          </w:p>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p>
        </w:tc>
        <w:tc>
          <w:tcPr>
            <w:tcW w:w="1377" w:type="dxa"/>
            <w:vMerge w:val="restart"/>
            <w:tcBorders>
              <w:top w:val="single" w:sz="12" w:space="0" w:color="auto"/>
              <w:right w:val="nil"/>
            </w:tcBorders>
            <w:vAlign w:val="center"/>
          </w:tcPr>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r>
              <w:rPr>
                <w:rFonts w:ascii="黑体" w:eastAsia="黑体" w:hAnsi="Times New Roman" w:cs="Times New Roman" w:hint="eastAsia"/>
              </w:rPr>
              <w:t>曝光查处的重大隐患或违法违规行为（起）</w:t>
            </w:r>
          </w:p>
        </w:tc>
      </w:tr>
      <w:tr w:rsidR="00627C0D" w:rsidTr="00E724E5">
        <w:trPr>
          <w:trHeight w:val="1946"/>
        </w:trPr>
        <w:tc>
          <w:tcPr>
            <w:tcW w:w="945" w:type="dxa"/>
            <w:tcBorders>
              <w:left w:val="nil"/>
            </w:tcBorders>
            <w:vAlign w:val="center"/>
          </w:tcPr>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r>
              <w:rPr>
                <w:rFonts w:ascii="黑体" w:eastAsia="黑体" w:hAnsi="Times New Roman" w:cs="Times New Roman" w:hint="eastAsia"/>
              </w:rPr>
              <w:t>对煤矿企业（次）</w:t>
            </w:r>
          </w:p>
        </w:tc>
        <w:tc>
          <w:tcPr>
            <w:tcW w:w="1290" w:type="dxa"/>
            <w:tcBorders>
              <w:left w:val="nil"/>
            </w:tcBorders>
            <w:vAlign w:val="center"/>
          </w:tcPr>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r>
              <w:rPr>
                <w:rFonts w:ascii="黑体" w:eastAsia="黑体" w:hAnsi="Times New Roman" w:cs="Times New Roman" w:hint="eastAsia"/>
              </w:rPr>
              <w:t>对煤矿企业管理人员（人次）</w:t>
            </w:r>
          </w:p>
        </w:tc>
        <w:tc>
          <w:tcPr>
            <w:tcW w:w="1245" w:type="dxa"/>
            <w:tcBorders>
              <w:left w:val="single" w:sz="4" w:space="0" w:color="auto"/>
            </w:tcBorders>
            <w:vAlign w:val="center"/>
          </w:tcPr>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r>
              <w:rPr>
                <w:rFonts w:ascii="黑体" w:eastAsia="黑体" w:hAnsi="Times New Roman" w:cs="Times New Roman" w:hint="eastAsia"/>
              </w:rPr>
              <w:t>对地方政府及有关部门（次）</w:t>
            </w:r>
          </w:p>
        </w:tc>
        <w:tc>
          <w:tcPr>
            <w:tcW w:w="1305" w:type="dxa"/>
            <w:tcBorders>
              <w:left w:val="single" w:sz="4" w:space="0" w:color="auto"/>
            </w:tcBorders>
            <w:vAlign w:val="center"/>
          </w:tcPr>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r>
              <w:rPr>
                <w:rFonts w:ascii="黑体" w:eastAsia="黑体" w:hAnsi="Times New Roman" w:cs="Times New Roman" w:hint="eastAsia"/>
              </w:rPr>
              <w:t>约谈地方政府及有关部门人员（人次）</w:t>
            </w:r>
          </w:p>
        </w:tc>
        <w:tc>
          <w:tcPr>
            <w:tcW w:w="1081" w:type="dxa"/>
            <w:vAlign w:val="center"/>
          </w:tcPr>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r>
              <w:rPr>
                <w:rFonts w:ascii="黑体" w:eastAsia="黑体" w:hAnsi="Times New Roman" w:cs="Times New Roman" w:hint="eastAsia"/>
              </w:rPr>
              <w:t>党政纪处理</w:t>
            </w:r>
          </w:p>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r>
              <w:rPr>
                <w:rFonts w:ascii="黑体" w:eastAsia="黑体" w:hAnsi="Times New Roman" w:cs="Times New Roman" w:hint="eastAsia"/>
              </w:rPr>
              <w:t>（人次）</w:t>
            </w:r>
          </w:p>
        </w:tc>
        <w:tc>
          <w:tcPr>
            <w:tcW w:w="1188" w:type="dxa"/>
            <w:vAlign w:val="center"/>
          </w:tcPr>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r>
              <w:rPr>
                <w:rFonts w:ascii="黑体" w:eastAsia="黑体" w:hAnsi="Times New Roman" w:cs="Times New Roman" w:hint="eastAsia"/>
              </w:rPr>
              <w:t>调整“五职矿长”（人次）</w:t>
            </w:r>
          </w:p>
        </w:tc>
        <w:tc>
          <w:tcPr>
            <w:tcW w:w="1134" w:type="dxa"/>
            <w:vAlign w:val="center"/>
          </w:tcPr>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r>
              <w:rPr>
                <w:rFonts w:ascii="黑体" w:eastAsia="黑体" w:hAnsi="Times New Roman" w:cs="Times New Roman" w:hint="eastAsia"/>
              </w:rPr>
              <w:t>解聘</w:t>
            </w:r>
          </w:p>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r>
              <w:rPr>
                <w:rFonts w:ascii="黑体" w:eastAsia="黑体" w:hAnsi="Times New Roman" w:cs="Times New Roman" w:hint="eastAsia"/>
              </w:rPr>
              <w:t>（人次）</w:t>
            </w:r>
          </w:p>
        </w:tc>
        <w:tc>
          <w:tcPr>
            <w:tcW w:w="1134" w:type="dxa"/>
            <w:vAlign w:val="center"/>
          </w:tcPr>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r>
              <w:rPr>
                <w:rFonts w:ascii="黑体" w:eastAsia="黑体" w:hAnsi="Times New Roman" w:cs="Times New Roman" w:hint="eastAsia"/>
              </w:rPr>
              <w:t>罚款</w:t>
            </w:r>
          </w:p>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r>
              <w:rPr>
                <w:rFonts w:ascii="黑体" w:eastAsia="黑体" w:hAnsi="Times New Roman" w:cs="Times New Roman" w:hint="eastAsia"/>
              </w:rPr>
              <w:t>（人次）</w:t>
            </w:r>
          </w:p>
        </w:tc>
        <w:tc>
          <w:tcPr>
            <w:tcW w:w="1134" w:type="dxa"/>
            <w:vAlign w:val="center"/>
          </w:tcPr>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r>
              <w:rPr>
                <w:rFonts w:ascii="黑体" w:eastAsia="黑体" w:hAnsi="Times New Roman" w:cs="Times New Roman" w:hint="eastAsia"/>
              </w:rPr>
              <w:t>罚款</w:t>
            </w:r>
          </w:p>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r>
              <w:rPr>
                <w:rFonts w:ascii="黑体" w:eastAsia="黑体" w:hAnsi="Times New Roman" w:cs="Times New Roman" w:hint="eastAsia"/>
              </w:rPr>
              <w:t>（万元）</w:t>
            </w:r>
          </w:p>
        </w:tc>
        <w:tc>
          <w:tcPr>
            <w:tcW w:w="1134" w:type="dxa"/>
            <w:vMerge/>
            <w:vAlign w:val="center"/>
          </w:tcPr>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p>
        </w:tc>
        <w:tc>
          <w:tcPr>
            <w:tcW w:w="1212" w:type="dxa"/>
            <w:vMerge/>
            <w:vAlign w:val="center"/>
          </w:tcPr>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p>
        </w:tc>
        <w:tc>
          <w:tcPr>
            <w:tcW w:w="1377" w:type="dxa"/>
            <w:vMerge/>
            <w:tcBorders>
              <w:right w:val="nil"/>
            </w:tcBorders>
            <w:vAlign w:val="center"/>
          </w:tcPr>
          <w:p w:rsidR="00627C0D" w:rsidRDefault="00627C0D" w:rsidP="00E724E5">
            <w:pPr>
              <w:pStyle w:val="a5"/>
              <w:widowControl w:val="0"/>
              <w:spacing w:before="0" w:beforeAutospacing="0" w:after="0" w:afterAutospacing="0" w:line="400" w:lineRule="exact"/>
              <w:jc w:val="center"/>
              <w:rPr>
                <w:rFonts w:ascii="黑体" w:eastAsia="黑体" w:hAnsi="Times New Roman" w:cs="Times New Roman"/>
              </w:rPr>
            </w:pPr>
          </w:p>
        </w:tc>
      </w:tr>
      <w:tr w:rsidR="00627C0D" w:rsidTr="00E724E5">
        <w:trPr>
          <w:trHeight w:val="1056"/>
        </w:trPr>
        <w:tc>
          <w:tcPr>
            <w:tcW w:w="945" w:type="dxa"/>
            <w:tcBorders>
              <w:left w:val="nil"/>
              <w:bottom w:val="single" w:sz="12" w:space="0" w:color="auto"/>
            </w:tcBorders>
            <w:vAlign w:val="center"/>
          </w:tcPr>
          <w:p w:rsidR="00627C0D" w:rsidRDefault="00627C0D" w:rsidP="00E724E5">
            <w:pPr>
              <w:widowControl/>
              <w:spacing w:line="400" w:lineRule="exact"/>
              <w:jc w:val="center"/>
              <w:textAlignment w:val="center"/>
              <w:rPr>
                <w:rFonts w:eastAsia="仿宋_GB2312"/>
              </w:rPr>
            </w:pPr>
          </w:p>
        </w:tc>
        <w:tc>
          <w:tcPr>
            <w:tcW w:w="1290" w:type="dxa"/>
            <w:tcBorders>
              <w:left w:val="nil"/>
              <w:bottom w:val="single" w:sz="12" w:space="0" w:color="auto"/>
            </w:tcBorders>
            <w:vAlign w:val="center"/>
          </w:tcPr>
          <w:p w:rsidR="00627C0D" w:rsidRDefault="00627C0D" w:rsidP="00E724E5">
            <w:pPr>
              <w:widowControl/>
              <w:spacing w:line="400" w:lineRule="exact"/>
              <w:jc w:val="center"/>
              <w:textAlignment w:val="center"/>
              <w:rPr>
                <w:rFonts w:eastAsia="仿宋_GB2312"/>
              </w:rPr>
            </w:pPr>
          </w:p>
        </w:tc>
        <w:tc>
          <w:tcPr>
            <w:tcW w:w="1245" w:type="dxa"/>
            <w:tcBorders>
              <w:left w:val="single" w:sz="4" w:space="0" w:color="auto"/>
              <w:bottom w:val="single" w:sz="12" w:space="0" w:color="auto"/>
            </w:tcBorders>
            <w:vAlign w:val="center"/>
          </w:tcPr>
          <w:p w:rsidR="00627C0D" w:rsidRDefault="00627C0D" w:rsidP="00E724E5">
            <w:pPr>
              <w:widowControl/>
              <w:spacing w:line="400" w:lineRule="exact"/>
              <w:jc w:val="center"/>
              <w:textAlignment w:val="center"/>
              <w:rPr>
                <w:rFonts w:eastAsia="仿宋_GB2312"/>
              </w:rPr>
            </w:pPr>
          </w:p>
        </w:tc>
        <w:tc>
          <w:tcPr>
            <w:tcW w:w="1305" w:type="dxa"/>
            <w:tcBorders>
              <w:left w:val="single" w:sz="4" w:space="0" w:color="auto"/>
              <w:bottom w:val="single" w:sz="12" w:space="0" w:color="auto"/>
            </w:tcBorders>
            <w:vAlign w:val="center"/>
          </w:tcPr>
          <w:p w:rsidR="00627C0D" w:rsidRDefault="00627C0D" w:rsidP="00E724E5">
            <w:pPr>
              <w:widowControl/>
              <w:spacing w:line="400" w:lineRule="exact"/>
              <w:jc w:val="center"/>
              <w:textAlignment w:val="center"/>
              <w:rPr>
                <w:rFonts w:eastAsia="仿宋_GB2312"/>
              </w:rPr>
            </w:pPr>
          </w:p>
        </w:tc>
        <w:tc>
          <w:tcPr>
            <w:tcW w:w="1081" w:type="dxa"/>
            <w:tcBorders>
              <w:bottom w:val="single" w:sz="12" w:space="0" w:color="auto"/>
            </w:tcBorders>
            <w:vAlign w:val="center"/>
          </w:tcPr>
          <w:p w:rsidR="00627C0D" w:rsidRDefault="00627C0D" w:rsidP="00E724E5">
            <w:pPr>
              <w:widowControl/>
              <w:spacing w:line="400" w:lineRule="exact"/>
              <w:jc w:val="left"/>
              <w:textAlignment w:val="center"/>
              <w:rPr>
                <w:rFonts w:eastAsia="仿宋_GB2312"/>
              </w:rPr>
            </w:pPr>
          </w:p>
        </w:tc>
        <w:tc>
          <w:tcPr>
            <w:tcW w:w="1188" w:type="dxa"/>
            <w:tcBorders>
              <w:bottom w:val="single" w:sz="12" w:space="0" w:color="auto"/>
            </w:tcBorders>
            <w:vAlign w:val="center"/>
          </w:tcPr>
          <w:p w:rsidR="00627C0D" w:rsidRDefault="00627C0D" w:rsidP="00E724E5">
            <w:pPr>
              <w:widowControl/>
              <w:spacing w:line="400" w:lineRule="exact"/>
              <w:jc w:val="left"/>
              <w:textAlignment w:val="center"/>
              <w:rPr>
                <w:rFonts w:eastAsia="仿宋_GB2312"/>
              </w:rPr>
            </w:pPr>
          </w:p>
        </w:tc>
        <w:tc>
          <w:tcPr>
            <w:tcW w:w="1134" w:type="dxa"/>
            <w:tcBorders>
              <w:bottom w:val="single" w:sz="12" w:space="0" w:color="auto"/>
            </w:tcBorders>
            <w:vAlign w:val="center"/>
          </w:tcPr>
          <w:p w:rsidR="00627C0D" w:rsidRDefault="00627C0D" w:rsidP="00E724E5">
            <w:pPr>
              <w:widowControl/>
              <w:spacing w:line="400" w:lineRule="exact"/>
              <w:jc w:val="left"/>
              <w:textAlignment w:val="center"/>
              <w:rPr>
                <w:rFonts w:eastAsia="仿宋_GB2312"/>
              </w:rPr>
            </w:pPr>
          </w:p>
        </w:tc>
        <w:tc>
          <w:tcPr>
            <w:tcW w:w="1134" w:type="dxa"/>
            <w:tcBorders>
              <w:bottom w:val="single" w:sz="12" w:space="0" w:color="auto"/>
            </w:tcBorders>
            <w:vAlign w:val="center"/>
          </w:tcPr>
          <w:p w:rsidR="00627C0D" w:rsidRDefault="00627C0D" w:rsidP="00E724E5">
            <w:pPr>
              <w:widowControl/>
              <w:spacing w:line="400" w:lineRule="exact"/>
              <w:ind w:firstLineChars="100" w:firstLine="312"/>
              <w:jc w:val="left"/>
              <w:textAlignment w:val="center"/>
              <w:rPr>
                <w:rFonts w:eastAsia="仿宋_GB2312"/>
              </w:rPr>
            </w:pPr>
          </w:p>
        </w:tc>
        <w:tc>
          <w:tcPr>
            <w:tcW w:w="1134" w:type="dxa"/>
            <w:tcBorders>
              <w:bottom w:val="single" w:sz="12" w:space="0" w:color="auto"/>
            </w:tcBorders>
            <w:vAlign w:val="center"/>
          </w:tcPr>
          <w:p w:rsidR="00627C0D" w:rsidRDefault="00627C0D" w:rsidP="00E724E5">
            <w:pPr>
              <w:widowControl/>
              <w:spacing w:line="400" w:lineRule="exact"/>
              <w:jc w:val="left"/>
              <w:textAlignment w:val="center"/>
              <w:rPr>
                <w:rFonts w:eastAsia="仿宋_GB2312"/>
              </w:rPr>
            </w:pPr>
          </w:p>
        </w:tc>
        <w:tc>
          <w:tcPr>
            <w:tcW w:w="1134" w:type="dxa"/>
            <w:tcBorders>
              <w:bottom w:val="single" w:sz="12" w:space="0" w:color="auto"/>
            </w:tcBorders>
            <w:vAlign w:val="center"/>
          </w:tcPr>
          <w:p w:rsidR="00627C0D" w:rsidRDefault="00627C0D" w:rsidP="00E724E5">
            <w:pPr>
              <w:widowControl/>
              <w:spacing w:line="400" w:lineRule="exact"/>
              <w:jc w:val="center"/>
              <w:textAlignment w:val="center"/>
              <w:rPr>
                <w:rFonts w:eastAsia="仿宋_GB2312"/>
              </w:rPr>
            </w:pPr>
          </w:p>
        </w:tc>
        <w:tc>
          <w:tcPr>
            <w:tcW w:w="1212" w:type="dxa"/>
            <w:tcBorders>
              <w:bottom w:val="single" w:sz="12" w:space="0" w:color="auto"/>
            </w:tcBorders>
            <w:vAlign w:val="center"/>
          </w:tcPr>
          <w:p w:rsidR="00627C0D" w:rsidRDefault="00627C0D" w:rsidP="00E724E5">
            <w:pPr>
              <w:widowControl/>
              <w:spacing w:line="400" w:lineRule="exact"/>
              <w:jc w:val="center"/>
              <w:textAlignment w:val="center"/>
              <w:rPr>
                <w:rFonts w:eastAsia="仿宋_GB2312"/>
              </w:rPr>
            </w:pPr>
          </w:p>
        </w:tc>
        <w:tc>
          <w:tcPr>
            <w:tcW w:w="1377" w:type="dxa"/>
            <w:tcBorders>
              <w:bottom w:val="single" w:sz="12" w:space="0" w:color="auto"/>
              <w:right w:val="nil"/>
            </w:tcBorders>
            <w:vAlign w:val="center"/>
          </w:tcPr>
          <w:p w:rsidR="00627C0D" w:rsidRDefault="00627C0D" w:rsidP="00E724E5">
            <w:pPr>
              <w:widowControl/>
              <w:spacing w:line="400" w:lineRule="exact"/>
              <w:jc w:val="center"/>
              <w:textAlignment w:val="center"/>
              <w:rPr>
                <w:rFonts w:eastAsia="仿宋_GB2312"/>
              </w:rPr>
            </w:pPr>
          </w:p>
        </w:tc>
      </w:tr>
    </w:tbl>
    <w:p w:rsidR="00627C0D" w:rsidRDefault="00627C0D" w:rsidP="00627C0D">
      <w:pPr>
        <w:pStyle w:val="a5"/>
        <w:widowControl w:val="0"/>
        <w:spacing w:before="0" w:beforeAutospacing="0" w:after="0" w:afterAutospacing="0" w:line="400" w:lineRule="exact"/>
        <w:rPr>
          <w:rFonts w:hint="eastAsia"/>
        </w:rPr>
      </w:pPr>
      <w:r>
        <w:rPr>
          <w:rFonts w:hint="eastAsia"/>
        </w:rPr>
        <w:t>分管负责人：　　　　　      　　填表人：　　          　　　填表人电话：　　　　　             填表日期：</w:t>
      </w:r>
    </w:p>
    <w:p w:rsidR="00627C0D" w:rsidRDefault="00627C0D" w:rsidP="00627C0D">
      <w:pPr>
        <w:pStyle w:val="a4"/>
        <w:spacing w:line="400" w:lineRule="exact"/>
        <w:rPr>
          <w:rFonts w:eastAsia="宋体" w:hAnsi="宋体" w:cs="宋体" w:hint="eastAsia"/>
        </w:rPr>
      </w:pPr>
      <w:r>
        <w:rPr>
          <w:rFonts w:eastAsia="宋体" w:hAnsi="宋体" w:cs="宋体" w:hint="eastAsia"/>
          <w:sz w:val="24"/>
          <w:szCs w:val="24"/>
        </w:rPr>
        <w:t>备注：本表由市级煤矿安全监管部门填报，表中数据为市县煤矿安全监管部门主体责任监管情况累计汇总数据。</w:t>
      </w:r>
    </w:p>
    <w:p w:rsidR="00627C0D" w:rsidRDefault="00627C0D" w:rsidP="00627C0D">
      <w:pPr>
        <w:pStyle w:val="2"/>
        <w:spacing w:after="0" w:line="400" w:lineRule="exact"/>
        <w:ind w:leftChars="0" w:firstLineChars="134" w:firstLine="418"/>
        <w:jc w:val="left"/>
        <w:rPr>
          <w:rFonts w:ascii="仿宋" w:hAnsi="仿宋" w:cs="仿宋_GB2312" w:hint="eastAsia"/>
          <w:szCs w:val="32"/>
        </w:rPr>
        <w:sectPr w:rsidR="00627C0D">
          <w:pgSz w:w="16838" w:h="11906" w:orient="landscape"/>
          <w:pgMar w:top="1587" w:right="1701" w:bottom="1587" w:left="1701" w:header="851" w:footer="992" w:gutter="0"/>
          <w:pgNumType w:fmt="numberInDash"/>
          <w:cols w:space="720"/>
          <w:docGrid w:type="linesAndChars" w:linePitch="623" w:charSpace="-1668"/>
        </w:sectPr>
      </w:pPr>
    </w:p>
    <w:p w:rsidR="009E417D" w:rsidRPr="00627C0D" w:rsidRDefault="009E417D"/>
    <w:sectPr w:rsidR="009E417D" w:rsidRPr="00627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0D"/>
    <w:rsid w:val="00003D33"/>
    <w:rsid w:val="001D2BA5"/>
    <w:rsid w:val="00276B72"/>
    <w:rsid w:val="00381B1B"/>
    <w:rsid w:val="004754F5"/>
    <w:rsid w:val="005252CC"/>
    <w:rsid w:val="00626E9A"/>
    <w:rsid w:val="00627C0D"/>
    <w:rsid w:val="009E417D"/>
    <w:rsid w:val="00A41D33"/>
    <w:rsid w:val="00A642EB"/>
    <w:rsid w:val="00A97EA1"/>
    <w:rsid w:val="00AC116C"/>
    <w:rsid w:val="00D4638C"/>
    <w:rsid w:val="00DF6683"/>
    <w:rsid w:val="00E93F6B"/>
    <w:rsid w:val="00EB4F2D"/>
    <w:rsid w:val="00EF4082"/>
    <w:rsid w:val="00FB4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91DC8-5B0E-4A99-9019-1EB0D042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27C0D"/>
    <w:pPr>
      <w:widowControl w:val="0"/>
      <w:jc w:val="both"/>
    </w:pPr>
    <w:rPr>
      <w:rFonts w:ascii="Calibri" w:eastAsia="仿宋" w:hAnsi="Calibri" w:cs="Times New Roman"/>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Char"/>
    <w:qFormat/>
    <w:rsid w:val="00627C0D"/>
    <w:rPr>
      <w:rFonts w:ascii="宋体" w:hAnsi="Courier New" w:cs="Courier New"/>
      <w:szCs w:val="21"/>
    </w:rPr>
  </w:style>
  <w:style w:type="character" w:customStyle="1" w:styleId="Char">
    <w:name w:val="纯文本 Char"/>
    <w:basedOn w:val="a1"/>
    <w:link w:val="a4"/>
    <w:rsid w:val="00627C0D"/>
    <w:rPr>
      <w:rFonts w:ascii="宋体" w:eastAsia="仿宋" w:hAnsi="Courier New" w:cs="Courier New"/>
      <w:sz w:val="32"/>
      <w:szCs w:val="21"/>
    </w:rPr>
  </w:style>
  <w:style w:type="paragraph" w:styleId="a5">
    <w:name w:val="Normal (Web)"/>
    <w:basedOn w:val="a"/>
    <w:qFormat/>
    <w:rsid w:val="00627C0D"/>
    <w:pPr>
      <w:widowControl/>
      <w:spacing w:before="100" w:beforeAutospacing="1" w:after="100" w:afterAutospacing="1"/>
      <w:jc w:val="left"/>
    </w:pPr>
    <w:rPr>
      <w:rFonts w:ascii="宋体" w:eastAsia="宋体" w:hAnsi="宋体" w:cs="宋体"/>
      <w:kern w:val="0"/>
      <w:sz w:val="24"/>
      <w:szCs w:val="24"/>
    </w:rPr>
  </w:style>
  <w:style w:type="paragraph" w:styleId="a6">
    <w:name w:val="Body Text Indent"/>
    <w:basedOn w:val="a"/>
    <w:link w:val="Char0"/>
    <w:uiPriority w:val="99"/>
    <w:semiHidden/>
    <w:unhideWhenUsed/>
    <w:rsid w:val="00627C0D"/>
    <w:pPr>
      <w:spacing w:after="120"/>
      <w:ind w:leftChars="200" w:left="420"/>
    </w:pPr>
  </w:style>
  <w:style w:type="character" w:customStyle="1" w:styleId="Char0">
    <w:name w:val="正文文本缩进 Char"/>
    <w:basedOn w:val="a1"/>
    <w:link w:val="a6"/>
    <w:uiPriority w:val="99"/>
    <w:semiHidden/>
    <w:rsid w:val="00627C0D"/>
    <w:rPr>
      <w:rFonts w:ascii="Calibri" w:eastAsia="仿宋" w:hAnsi="Calibri" w:cs="Times New Roman"/>
      <w:sz w:val="32"/>
    </w:rPr>
  </w:style>
  <w:style w:type="paragraph" w:styleId="2">
    <w:name w:val="Body Text First Indent 2"/>
    <w:basedOn w:val="a6"/>
    <w:link w:val="2Char"/>
    <w:uiPriority w:val="99"/>
    <w:qFormat/>
    <w:rsid w:val="00627C0D"/>
    <w:pPr>
      <w:ind w:firstLineChars="200" w:firstLine="420"/>
    </w:pPr>
  </w:style>
  <w:style w:type="character" w:customStyle="1" w:styleId="2Char">
    <w:name w:val="正文首行缩进 2 Char"/>
    <w:basedOn w:val="Char0"/>
    <w:link w:val="2"/>
    <w:uiPriority w:val="99"/>
    <w:rsid w:val="00627C0D"/>
    <w:rPr>
      <w:rFonts w:ascii="Calibri" w:eastAsia="仿宋" w:hAnsi="Calibri" w:cs="Times New Roman"/>
      <w:sz w:val="32"/>
    </w:rPr>
  </w:style>
  <w:style w:type="paragraph" w:styleId="a0">
    <w:name w:val="Normal Indent"/>
    <w:basedOn w:val="a"/>
    <w:uiPriority w:val="99"/>
    <w:semiHidden/>
    <w:unhideWhenUsed/>
    <w:rsid w:val="00627C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Words>
  <Characters>393</Characters>
  <Application>Microsoft Office Word</Application>
  <DocSecurity>0</DocSecurity>
  <Lines>3</Lines>
  <Paragraphs>1</Paragraphs>
  <ScaleCrop>false</ScaleCrop>
  <Company>MS</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2022-03-22T08:19:00Z</dcterms:created>
  <dcterms:modified xsi:type="dcterms:W3CDTF">2022-03-22T08:20:00Z</dcterms:modified>
</cp:coreProperties>
</file>