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863" w:rsidRDefault="00510AEA">
      <w:pPr>
        <w:pStyle w:val="ad"/>
        <w:spacing w:line="600" w:lineRule="exact"/>
        <w:ind w:firstLineChars="0" w:firstLine="0"/>
        <w:rPr>
          <w:rFonts w:ascii="黑体" w:eastAsia="黑体" w:hAnsi="黑体" w:cs="黑体"/>
          <w:bCs/>
          <w:color w:val="000000" w:themeColor="text1"/>
          <w:szCs w:val="32"/>
        </w:rPr>
      </w:pPr>
      <w:r>
        <w:rPr>
          <w:rFonts w:ascii="黑体" w:eastAsia="黑体" w:hAnsi="黑体" w:cs="黑体" w:hint="eastAsia"/>
          <w:bCs/>
          <w:color w:val="000000" w:themeColor="text1"/>
          <w:szCs w:val="32"/>
        </w:rPr>
        <w:t>附件</w:t>
      </w:r>
      <w:r>
        <w:rPr>
          <w:rFonts w:ascii="黑体" w:eastAsia="黑体" w:hAnsi="黑体" w:cs="黑体" w:hint="eastAsia"/>
          <w:bCs/>
          <w:color w:val="000000" w:themeColor="text1"/>
          <w:szCs w:val="32"/>
        </w:rPr>
        <w:t>3</w:t>
      </w:r>
    </w:p>
    <w:p w:rsidR="004C2863" w:rsidRDefault="004C2863">
      <w:pPr>
        <w:pStyle w:val="ad"/>
        <w:spacing w:line="600" w:lineRule="exact"/>
        <w:ind w:firstLineChars="0" w:firstLine="0"/>
        <w:rPr>
          <w:rFonts w:ascii="黑体" w:eastAsia="黑体" w:hAnsi="黑体" w:cs="黑体"/>
          <w:bCs/>
          <w:color w:val="000000" w:themeColor="text1"/>
          <w:szCs w:val="32"/>
        </w:rPr>
      </w:pPr>
    </w:p>
    <w:p w:rsidR="004C2863" w:rsidRDefault="00510AEA">
      <w:pPr>
        <w:spacing w:line="600" w:lineRule="exact"/>
        <w:jc w:val="center"/>
        <w:rPr>
          <w:rFonts w:ascii="方正小标宋简体" w:eastAsia="方正小标宋简体" w:hAnsi="方正小标宋简体" w:cs="方正小标宋简体"/>
          <w:color w:val="000000" w:themeColor="text1"/>
          <w:sz w:val="44"/>
          <w:szCs w:val="44"/>
        </w:rPr>
      </w:pPr>
      <w:bookmarkStart w:id="0" w:name="_GoBack"/>
      <w:r>
        <w:rPr>
          <w:rFonts w:ascii="方正小标宋简体" w:eastAsia="方正小标宋简体" w:hAnsi="方正小标宋简体" w:cs="方正小标宋简体" w:hint="eastAsia"/>
          <w:color w:val="000000" w:themeColor="text1"/>
          <w:sz w:val="44"/>
          <w:szCs w:val="44"/>
        </w:rPr>
        <w:t>双重预防机制</w:t>
      </w:r>
      <w:r>
        <w:rPr>
          <w:rFonts w:ascii="方正小标宋简体" w:eastAsia="方正小标宋简体" w:hAnsi="方正小标宋简体" w:cs="方正小标宋简体" w:hint="eastAsia"/>
          <w:color w:val="000000" w:themeColor="text1"/>
          <w:sz w:val="44"/>
          <w:szCs w:val="44"/>
        </w:rPr>
        <w:t>和</w:t>
      </w:r>
      <w:r>
        <w:rPr>
          <w:rFonts w:ascii="方正小标宋简体" w:eastAsia="方正小标宋简体" w:hAnsi="方正小标宋简体" w:cs="方正小标宋简体" w:hint="eastAsia"/>
          <w:color w:val="000000" w:themeColor="text1"/>
          <w:sz w:val="44"/>
          <w:szCs w:val="44"/>
        </w:rPr>
        <w:t>安全生产标准化管理体系示范矿井核查表</w:t>
      </w:r>
      <w:bookmarkEnd w:id="0"/>
    </w:p>
    <w:p w:rsidR="004C2863" w:rsidRDefault="004C2863">
      <w:pPr>
        <w:spacing w:line="600" w:lineRule="exact"/>
        <w:rPr>
          <w:rFonts w:eastAsia="宋体"/>
          <w:color w:val="000000" w:themeColor="text1"/>
        </w:rPr>
      </w:pPr>
    </w:p>
    <w:tbl>
      <w:tblPr>
        <w:tblStyle w:val="a9"/>
        <w:tblW w:w="14007" w:type="dxa"/>
        <w:tblLayout w:type="fixed"/>
        <w:tblLook w:val="04A0" w:firstRow="1" w:lastRow="0" w:firstColumn="1" w:lastColumn="0" w:noHBand="0" w:noVBand="1"/>
      </w:tblPr>
      <w:tblGrid>
        <w:gridCol w:w="450"/>
        <w:gridCol w:w="600"/>
        <w:gridCol w:w="619"/>
        <w:gridCol w:w="4167"/>
        <w:gridCol w:w="3663"/>
        <w:gridCol w:w="2711"/>
        <w:gridCol w:w="1185"/>
        <w:gridCol w:w="612"/>
      </w:tblGrid>
      <w:tr w:rsidR="004C2863">
        <w:trPr>
          <w:trHeight w:val="844"/>
        </w:trPr>
        <w:tc>
          <w:tcPr>
            <w:tcW w:w="450" w:type="dxa"/>
            <w:vAlign w:val="center"/>
          </w:tcPr>
          <w:p w:rsidR="004C2863" w:rsidRDefault="00510AEA">
            <w:pPr>
              <w:spacing w:line="0" w:lineRule="atLeast"/>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序号</w:t>
            </w:r>
          </w:p>
        </w:tc>
        <w:tc>
          <w:tcPr>
            <w:tcW w:w="600" w:type="dxa"/>
            <w:vAlign w:val="center"/>
          </w:tcPr>
          <w:p w:rsidR="004C2863" w:rsidRDefault="00510AEA">
            <w:pPr>
              <w:spacing w:line="0" w:lineRule="atLeast"/>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检查</w:t>
            </w:r>
          </w:p>
          <w:p w:rsidR="004C2863" w:rsidRDefault="00510AEA">
            <w:pPr>
              <w:spacing w:line="0" w:lineRule="atLeast"/>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项目</w:t>
            </w:r>
          </w:p>
        </w:tc>
        <w:tc>
          <w:tcPr>
            <w:tcW w:w="619" w:type="dxa"/>
            <w:vAlign w:val="center"/>
          </w:tcPr>
          <w:p w:rsidR="004C2863" w:rsidRDefault="00510AEA">
            <w:pPr>
              <w:spacing w:line="0" w:lineRule="atLeast"/>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检查</w:t>
            </w:r>
          </w:p>
          <w:p w:rsidR="004C2863" w:rsidRDefault="00510AEA">
            <w:pPr>
              <w:spacing w:line="0" w:lineRule="atLeast"/>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要点</w:t>
            </w:r>
          </w:p>
        </w:tc>
        <w:tc>
          <w:tcPr>
            <w:tcW w:w="4167" w:type="dxa"/>
            <w:vAlign w:val="center"/>
          </w:tcPr>
          <w:p w:rsidR="004C2863" w:rsidRDefault="00510AEA">
            <w:pPr>
              <w:spacing w:line="0" w:lineRule="atLeast"/>
              <w:jc w:val="center"/>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检查内容</w:t>
            </w:r>
          </w:p>
        </w:tc>
        <w:tc>
          <w:tcPr>
            <w:tcW w:w="3663" w:type="dxa"/>
            <w:vAlign w:val="center"/>
          </w:tcPr>
          <w:p w:rsidR="004C2863" w:rsidRDefault="00510AEA">
            <w:pPr>
              <w:spacing w:line="0" w:lineRule="atLeast"/>
              <w:jc w:val="center"/>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规范要求</w:t>
            </w:r>
          </w:p>
        </w:tc>
        <w:tc>
          <w:tcPr>
            <w:tcW w:w="2711" w:type="dxa"/>
            <w:vAlign w:val="center"/>
          </w:tcPr>
          <w:p w:rsidR="004C2863" w:rsidRDefault="00510AEA">
            <w:pPr>
              <w:spacing w:line="0" w:lineRule="atLeast"/>
              <w:jc w:val="center"/>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检查方法</w:t>
            </w:r>
          </w:p>
        </w:tc>
        <w:tc>
          <w:tcPr>
            <w:tcW w:w="1185" w:type="dxa"/>
            <w:vAlign w:val="center"/>
          </w:tcPr>
          <w:p w:rsidR="004C2863" w:rsidRDefault="00510AEA">
            <w:pPr>
              <w:spacing w:line="0" w:lineRule="atLeast"/>
              <w:jc w:val="center"/>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检查情况</w:t>
            </w:r>
          </w:p>
        </w:tc>
        <w:tc>
          <w:tcPr>
            <w:tcW w:w="612" w:type="dxa"/>
            <w:vAlign w:val="center"/>
          </w:tcPr>
          <w:p w:rsidR="004C2863" w:rsidRDefault="00510AEA">
            <w:pPr>
              <w:spacing w:line="0" w:lineRule="atLeast"/>
              <w:jc w:val="center"/>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备注</w:t>
            </w:r>
          </w:p>
        </w:tc>
      </w:tr>
      <w:tr w:rsidR="004C2863">
        <w:trPr>
          <w:trHeight w:val="1315"/>
        </w:trPr>
        <w:tc>
          <w:tcPr>
            <w:tcW w:w="450" w:type="dxa"/>
            <w:vMerge w:val="restart"/>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1</w:t>
            </w:r>
          </w:p>
        </w:tc>
        <w:tc>
          <w:tcPr>
            <w:tcW w:w="600" w:type="dxa"/>
            <w:vMerge w:val="restart"/>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构与制度</w:t>
            </w:r>
          </w:p>
        </w:tc>
        <w:tc>
          <w:tcPr>
            <w:tcW w:w="619" w:type="dxa"/>
            <w:vMerge w:val="restart"/>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机构与职责</w:t>
            </w:r>
          </w:p>
        </w:tc>
        <w:tc>
          <w:tcPr>
            <w:tcW w:w="4167" w:type="dxa"/>
            <w:vMerge w:val="restart"/>
            <w:vAlign w:val="center"/>
          </w:tcPr>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1.</w:t>
            </w:r>
            <w:r>
              <w:rPr>
                <w:rFonts w:ascii="仿宋" w:hAnsi="仿宋" w:cs="仿宋" w:hint="eastAsia"/>
                <w:color w:val="000000" w:themeColor="text1"/>
                <w:sz w:val="18"/>
                <w:szCs w:val="18"/>
              </w:rPr>
              <w:t>建立双重预防工作责任体系。</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2.</w:t>
            </w:r>
            <w:r>
              <w:rPr>
                <w:rFonts w:ascii="仿宋" w:hAnsi="仿宋" w:cs="仿宋" w:hint="eastAsia"/>
                <w:color w:val="000000" w:themeColor="text1"/>
                <w:sz w:val="18"/>
                <w:szCs w:val="18"/>
              </w:rPr>
              <w:t>明确双重预防机制建设和运行的分管负责人、管理部门和人员，负责双重预防机制运行的监督、考核。</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3.</w:t>
            </w:r>
            <w:r>
              <w:rPr>
                <w:rFonts w:ascii="仿宋" w:hAnsi="仿宋" w:cs="仿宋" w:hint="eastAsia"/>
                <w:color w:val="000000" w:themeColor="text1"/>
                <w:sz w:val="18"/>
                <w:szCs w:val="18"/>
              </w:rPr>
              <w:t>矿长全面负责本单位双重预防工作。</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4.</w:t>
            </w:r>
            <w:r>
              <w:rPr>
                <w:rFonts w:ascii="仿宋" w:hAnsi="仿宋" w:cs="仿宋" w:hint="eastAsia"/>
                <w:color w:val="000000" w:themeColor="text1"/>
                <w:sz w:val="18"/>
                <w:szCs w:val="18"/>
              </w:rPr>
              <w:t>各分管负责人负责分管范围内的双重预防工作。</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5.</w:t>
            </w:r>
            <w:r>
              <w:rPr>
                <w:rFonts w:ascii="仿宋" w:hAnsi="仿宋" w:cs="仿宋" w:hint="eastAsia"/>
                <w:color w:val="000000" w:themeColor="text1"/>
                <w:sz w:val="18"/>
                <w:szCs w:val="18"/>
              </w:rPr>
              <w:t>副总工程师、各科室（部门）、区队（车间）参与分管范围内的安全风险辨识、评估工作，负责职责范围内的安全风险管控、隐患排查和分析总结工作。</w:t>
            </w:r>
            <w:r>
              <w:rPr>
                <w:rFonts w:ascii="仿宋" w:hAnsi="仿宋" w:cs="仿宋" w:hint="eastAsia"/>
                <w:color w:val="000000" w:themeColor="text1"/>
                <w:sz w:val="18"/>
                <w:szCs w:val="18"/>
              </w:rPr>
              <w:t xml:space="preserve"> </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6.</w:t>
            </w:r>
            <w:r>
              <w:rPr>
                <w:rFonts w:ascii="仿宋" w:hAnsi="仿宋" w:cs="仿宋" w:hint="eastAsia"/>
                <w:color w:val="000000" w:themeColor="text1"/>
                <w:sz w:val="18"/>
                <w:szCs w:val="18"/>
              </w:rPr>
              <w:t>班组、岗位人员负责作业过程中的双重预防工作。</w:t>
            </w:r>
          </w:p>
        </w:tc>
        <w:tc>
          <w:tcPr>
            <w:tcW w:w="3663" w:type="dxa"/>
            <w:vAlign w:val="center"/>
          </w:tcPr>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1.</w:t>
            </w:r>
            <w:r>
              <w:rPr>
                <w:rFonts w:ascii="仿宋" w:hAnsi="仿宋" w:cs="仿宋" w:hint="eastAsia"/>
                <w:color w:val="000000" w:themeColor="text1"/>
                <w:sz w:val="18"/>
                <w:szCs w:val="18"/>
              </w:rPr>
              <w:t>以正式文件明确“双重预防机制”建设运行组织机构，明确管理部门</w:t>
            </w:r>
            <w:r>
              <w:rPr>
                <w:rFonts w:ascii="仿宋" w:hAnsi="仿宋" w:cs="仿宋" w:hint="eastAsia"/>
                <w:color w:val="000000" w:themeColor="text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2.</w:t>
            </w:r>
            <w:r>
              <w:rPr>
                <w:rFonts w:ascii="仿宋" w:hAnsi="仿宋" w:cs="仿宋" w:hint="eastAsia"/>
                <w:color w:val="000000" w:themeColor="text1"/>
                <w:sz w:val="18"/>
                <w:szCs w:val="18"/>
              </w:rPr>
              <w:t>明确矿长为双重预防机制建设运行第一责任人，明确</w:t>
            </w:r>
            <w:r>
              <w:rPr>
                <w:rFonts w:ascii="仿宋" w:hAnsi="仿宋" w:cs="仿宋" w:hint="eastAsia"/>
                <w:color w:val="000000" w:themeColor="text1"/>
                <w:sz w:val="18"/>
                <w:szCs w:val="18"/>
              </w:rPr>
              <w:t>各分管负责人、副总、部门、区队、班组、岗位的双重预防职责。</w:t>
            </w:r>
          </w:p>
        </w:tc>
        <w:tc>
          <w:tcPr>
            <w:tcW w:w="2711" w:type="dxa"/>
            <w:vMerge w:val="restart"/>
            <w:vAlign w:val="center"/>
          </w:tcPr>
          <w:p w:rsidR="004C2863" w:rsidRDefault="00510AEA">
            <w:pPr>
              <w:pStyle w:val="TableParagraph"/>
              <w:spacing w:line="180" w:lineRule="exact"/>
              <w:rPr>
                <w:rFonts w:ascii="仿宋" w:hAnsi="仿宋" w:cs="仿宋"/>
                <w:color w:val="000000" w:themeColor="text1"/>
                <w:spacing w:val="17"/>
                <w:sz w:val="18"/>
                <w:szCs w:val="18"/>
              </w:rPr>
            </w:pPr>
            <w:r>
              <w:rPr>
                <w:rFonts w:ascii="仿宋" w:hAnsi="仿宋" w:cs="仿宋" w:hint="eastAsia"/>
                <w:color w:val="000000" w:themeColor="text1"/>
                <w:spacing w:val="17"/>
                <w:sz w:val="18"/>
                <w:szCs w:val="18"/>
              </w:rPr>
              <w:t>1.</w:t>
            </w:r>
            <w:r>
              <w:rPr>
                <w:rFonts w:ascii="仿宋" w:hAnsi="仿宋" w:cs="仿宋" w:hint="eastAsia"/>
                <w:color w:val="000000" w:themeColor="text1"/>
                <w:spacing w:val="17"/>
                <w:sz w:val="18"/>
                <w:szCs w:val="18"/>
              </w:rPr>
              <w:t>查矿端系统中文件存档或正式文件原件</w:t>
            </w:r>
            <w:r>
              <w:rPr>
                <w:rFonts w:ascii="仿宋" w:hAnsi="仿宋" w:cs="仿宋" w:hint="eastAsia"/>
                <w:color w:val="000000" w:themeColor="text1"/>
                <w:spacing w:val="17"/>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2.</w:t>
            </w:r>
            <w:r>
              <w:rPr>
                <w:rFonts w:ascii="仿宋" w:hAnsi="仿宋" w:cs="仿宋" w:hint="eastAsia"/>
                <w:color w:val="000000" w:themeColor="text1"/>
                <w:spacing w:val="-4"/>
                <w:sz w:val="18"/>
                <w:szCs w:val="18"/>
              </w:rPr>
              <w:t>抽查询问：</w:t>
            </w:r>
            <w:r>
              <w:rPr>
                <w:rFonts w:ascii="仿宋" w:hAnsi="仿宋" w:cs="仿宋" w:hint="eastAsia"/>
                <w:color w:val="000000" w:themeColor="text1"/>
                <w:spacing w:val="16"/>
                <w:sz w:val="18"/>
                <w:szCs w:val="18"/>
              </w:rPr>
              <w:t>企业主要</w:t>
            </w:r>
            <w:r>
              <w:rPr>
                <w:rFonts w:ascii="仿宋" w:hAnsi="仿宋" w:cs="仿宋" w:hint="eastAsia"/>
                <w:color w:val="000000" w:themeColor="text1"/>
                <w:spacing w:val="17"/>
                <w:sz w:val="18"/>
                <w:szCs w:val="18"/>
              </w:rPr>
              <w:t>、分管</w:t>
            </w:r>
            <w:r>
              <w:rPr>
                <w:rFonts w:ascii="仿宋" w:hAnsi="仿宋" w:cs="仿宋" w:hint="eastAsia"/>
                <w:color w:val="000000" w:themeColor="text1"/>
                <w:spacing w:val="17"/>
                <w:sz w:val="18"/>
                <w:szCs w:val="18"/>
              </w:rPr>
              <w:t>及</w:t>
            </w:r>
            <w:r>
              <w:rPr>
                <w:rFonts w:ascii="仿宋" w:hAnsi="仿宋" w:cs="仿宋" w:hint="eastAsia"/>
                <w:color w:val="000000" w:themeColor="text1"/>
                <w:spacing w:val="17"/>
                <w:sz w:val="18"/>
                <w:szCs w:val="18"/>
              </w:rPr>
              <w:t>其他各层</w:t>
            </w:r>
            <w:r>
              <w:rPr>
                <w:rFonts w:ascii="仿宋" w:hAnsi="仿宋" w:cs="仿宋" w:hint="eastAsia"/>
                <w:color w:val="000000" w:themeColor="text1"/>
                <w:spacing w:val="16"/>
                <w:sz w:val="18"/>
                <w:szCs w:val="18"/>
              </w:rPr>
              <w:t>级负责人是否</w:t>
            </w:r>
            <w:r>
              <w:rPr>
                <w:rFonts w:ascii="仿宋" w:hAnsi="仿宋" w:cs="仿宋" w:hint="eastAsia"/>
                <w:color w:val="000000" w:themeColor="text1"/>
                <w:spacing w:val="17"/>
                <w:sz w:val="18"/>
                <w:szCs w:val="18"/>
              </w:rPr>
              <w:t>清</w:t>
            </w:r>
            <w:r>
              <w:rPr>
                <w:rFonts w:ascii="仿宋" w:hAnsi="仿宋" w:cs="仿宋" w:hint="eastAsia"/>
                <w:color w:val="000000" w:themeColor="text1"/>
                <w:spacing w:val="17"/>
                <w:sz w:val="18"/>
                <w:szCs w:val="18"/>
              </w:rPr>
              <w:t>楚</w:t>
            </w:r>
            <w:r>
              <w:rPr>
                <w:rFonts w:ascii="仿宋" w:hAnsi="仿宋" w:cs="仿宋" w:hint="eastAsia"/>
                <w:color w:val="000000" w:themeColor="text1"/>
                <w:spacing w:val="16"/>
                <w:sz w:val="18"/>
                <w:szCs w:val="18"/>
              </w:rPr>
              <w:t>文件并掌握本岗位双重</w:t>
            </w:r>
            <w:r>
              <w:rPr>
                <w:rFonts w:ascii="仿宋" w:hAnsi="仿宋" w:cs="仿宋" w:hint="eastAsia"/>
                <w:color w:val="000000" w:themeColor="text1"/>
                <w:sz w:val="18"/>
                <w:szCs w:val="18"/>
              </w:rPr>
              <w:t>预防机制职责</w:t>
            </w:r>
            <w:r>
              <w:rPr>
                <w:rFonts w:ascii="仿宋" w:hAnsi="仿宋" w:cs="仿宋" w:hint="eastAsia"/>
                <w:color w:val="000000" w:themeColor="text1"/>
                <w:sz w:val="18"/>
                <w:szCs w:val="18"/>
              </w:rPr>
              <w:t>。</w:t>
            </w:r>
          </w:p>
        </w:tc>
        <w:tc>
          <w:tcPr>
            <w:tcW w:w="1185" w:type="dxa"/>
            <w:vMerge w:val="restart"/>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vMerge w:val="restart"/>
          </w:tcPr>
          <w:p w:rsidR="004C2863" w:rsidRDefault="004C2863">
            <w:pPr>
              <w:spacing w:line="0" w:lineRule="atLeast"/>
              <w:rPr>
                <w:rFonts w:ascii="仿宋" w:hAnsi="仿宋" w:cs="仿宋"/>
                <w:color w:val="000000" w:themeColor="text1"/>
                <w:sz w:val="18"/>
                <w:szCs w:val="18"/>
              </w:rPr>
            </w:pPr>
          </w:p>
        </w:tc>
      </w:tr>
      <w:tr w:rsidR="004C2863">
        <w:trPr>
          <w:trHeight w:val="1380"/>
        </w:trPr>
        <w:tc>
          <w:tcPr>
            <w:tcW w:w="450" w:type="dxa"/>
            <w:vMerge/>
            <w:vAlign w:val="center"/>
          </w:tcPr>
          <w:p w:rsidR="004C2863" w:rsidRDefault="004C2863">
            <w:pPr>
              <w:spacing w:line="180" w:lineRule="exact"/>
              <w:jc w:val="center"/>
              <w:rPr>
                <w:rFonts w:ascii="仿宋" w:hAnsi="仿宋" w:cs="仿宋"/>
                <w:color w:val="000000" w:themeColor="text1"/>
                <w:sz w:val="18"/>
                <w:szCs w:val="18"/>
              </w:rPr>
            </w:pPr>
          </w:p>
        </w:tc>
        <w:tc>
          <w:tcPr>
            <w:tcW w:w="600" w:type="dxa"/>
            <w:vMerge/>
            <w:vAlign w:val="center"/>
          </w:tcPr>
          <w:p w:rsidR="004C2863" w:rsidRDefault="004C2863">
            <w:pPr>
              <w:spacing w:line="180" w:lineRule="exact"/>
              <w:rPr>
                <w:rFonts w:ascii="仿宋" w:hAnsi="仿宋" w:cs="仿宋"/>
                <w:color w:val="000000" w:themeColor="text1"/>
                <w:sz w:val="18"/>
                <w:szCs w:val="18"/>
              </w:rPr>
            </w:pPr>
          </w:p>
        </w:tc>
        <w:tc>
          <w:tcPr>
            <w:tcW w:w="619" w:type="dxa"/>
            <w:vMerge/>
            <w:vAlign w:val="center"/>
          </w:tcPr>
          <w:p w:rsidR="004C2863" w:rsidRDefault="004C2863">
            <w:pPr>
              <w:spacing w:line="180" w:lineRule="exact"/>
              <w:jc w:val="center"/>
              <w:rPr>
                <w:rFonts w:ascii="仿宋" w:hAnsi="仿宋" w:cs="仿宋"/>
                <w:color w:val="000000" w:themeColor="text1"/>
                <w:sz w:val="18"/>
                <w:szCs w:val="18"/>
              </w:rPr>
            </w:pPr>
          </w:p>
        </w:tc>
        <w:tc>
          <w:tcPr>
            <w:tcW w:w="4167" w:type="dxa"/>
            <w:vMerge/>
            <w:vAlign w:val="center"/>
          </w:tcPr>
          <w:p w:rsidR="004C2863" w:rsidRDefault="004C2863">
            <w:pPr>
              <w:pStyle w:val="TableParagraph"/>
              <w:spacing w:line="180" w:lineRule="exact"/>
              <w:rPr>
                <w:rFonts w:ascii="仿宋" w:hAnsi="仿宋" w:cs="仿宋"/>
                <w:color w:val="000000" w:themeColor="text1"/>
                <w:sz w:val="18"/>
                <w:szCs w:val="18"/>
              </w:rPr>
            </w:pPr>
          </w:p>
        </w:tc>
        <w:tc>
          <w:tcPr>
            <w:tcW w:w="3663" w:type="dxa"/>
            <w:vAlign w:val="center"/>
          </w:tcPr>
          <w:p w:rsidR="004C2863" w:rsidRDefault="00510AEA">
            <w:pPr>
              <w:widowControl/>
              <w:spacing w:line="180" w:lineRule="exact"/>
              <w:rPr>
                <w:rFonts w:ascii="仿宋" w:hAnsi="仿宋" w:cs="仿宋"/>
                <w:color w:val="000000" w:themeColor="text1"/>
                <w:sz w:val="18"/>
                <w:szCs w:val="18"/>
              </w:rPr>
            </w:pPr>
            <w:r>
              <w:rPr>
                <w:rFonts w:ascii="仿宋" w:hAnsi="仿宋" w:cs="仿宋" w:hint="eastAsia"/>
                <w:color w:val="000000" w:themeColor="text1"/>
                <w:kern w:val="0"/>
                <w:sz w:val="18"/>
                <w:szCs w:val="18"/>
                <w:lang w:bidi="ar"/>
              </w:rPr>
              <w:t>否决项：</w:t>
            </w:r>
          </w:p>
          <w:p w:rsidR="004C2863" w:rsidRDefault="00510AEA">
            <w:pPr>
              <w:widowControl/>
              <w:spacing w:line="180" w:lineRule="exact"/>
              <w:rPr>
                <w:rFonts w:ascii="仿宋" w:hAnsi="仿宋" w:cs="仿宋"/>
                <w:color w:val="000000" w:themeColor="text1"/>
                <w:sz w:val="18"/>
                <w:szCs w:val="18"/>
              </w:rPr>
            </w:pPr>
            <w:r>
              <w:rPr>
                <w:rFonts w:ascii="仿宋" w:hAnsi="仿宋" w:cs="仿宋" w:hint="eastAsia"/>
                <w:color w:val="000000" w:themeColor="text1"/>
                <w:kern w:val="0"/>
                <w:sz w:val="18"/>
                <w:szCs w:val="18"/>
                <w:lang w:bidi="ar"/>
              </w:rPr>
              <w:t>未明确双重预防组织机构，未明确企业</w:t>
            </w:r>
          </w:p>
          <w:p w:rsidR="004C2863" w:rsidRDefault="00510AEA">
            <w:pPr>
              <w:widowControl/>
              <w:spacing w:line="180" w:lineRule="exact"/>
              <w:rPr>
                <w:rFonts w:ascii="仿宋" w:hAnsi="仿宋" w:cs="仿宋"/>
                <w:color w:val="000000" w:themeColor="text1"/>
                <w:sz w:val="18"/>
                <w:szCs w:val="18"/>
              </w:rPr>
            </w:pPr>
            <w:r>
              <w:rPr>
                <w:rFonts w:ascii="仿宋" w:hAnsi="仿宋" w:cs="仿宋" w:hint="eastAsia"/>
                <w:color w:val="000000" w:themeColor="text1"/>
                <w:kern w:val="0"/>
                <w:sz w:val="18"/>
                <w:szCs w:val="18"/>
                <w:lang w:bidi="ar"/>
              </w:rPr>
              <w:t>主要负责人、分管负责人责任。</w:t>
            </w:r>
          </w:p>
        </w:tc>
        <w:tc>
          <w:tcPr>
            <w:tcW w:w="2711" w:type="dxa"/>
            <w:vMerge/>
            <w:vAlign w:val="center"/>
          </w:tcPr>
          <w:p w:rsidR="004C2863" w:rsidRDefault="004C2863">
            <w:pPr>
              <w:pStyle w:val="TableParagraph"/>
              <w:spacing w:line="180" w:lineRule="exact"/>
              <w:rPr>
                <w:rFonts w:ascii="仿宋" w:hAnsi="仿宋" w:cs="仿宋"/>
                <w:color w:val="000000" w:themeColor="text1"/>
                <w:sz w:val="18"/>
                <w:szCs w:val="18"/>
              </w:rPr>
            </w:pPr>
          </w:p>
        </w:tc>
        <w:tc>
          <w:tcPr>
            <w:tcW w:w="1185" w:type="dxa"/>
            <w:vMerge/>
            <w:vAlign w:val="center"/>
          </w:tcPr>
          <w:p w:rsidR="004C2863" w:rsidRDefault="004C2863">
            <w:pPr>
              <w:spacing w:line="180" w:lineRule="exact"/>
              <w:rPr>
                <w:rFonts w:ascii="仿宋" w:hAnsi="仿宋" w:cs="仿宋"/>
                <w:color w:val="000000" w:themeColor="text1"/>
                <w:spacing w:val="16"/>
                <w:sz w:val="18"/>
                <w:szCs w:val="18"/>
              </w:rPr>
            </w:pPr>
          </w:p>
        </w:tc>
        <w:tc>
          <w:tcPr>
            <w:tcW w:w="612" w:type="dxa"/>
            <w:vMerge/>
          </w:tcPr>
          <w:p w:rsidR="004C2863" w:rsidRDefault="004C2863">
            <w:pPr>
              <w:spacing w:line="0" w:lineRule="atLeast"/>
              <w:rPr>
                <w:rFonts w:ascii="仿宋" w:hAnsi="仿宋" w:cs="仿宋"/>
                <w:color w:val="000000" w:themeColor="text1"/>
                <w:sz w:val="18"/>
                <w:szCs w:val="18"/>
              </w:rPr>
            </w:pPr>
          </w:p>
        </w:tc>
      </w:tr>
      <w:tr w:rsidR="004C2863">
        <w:trPr>
          <w:trHeight w:val="1652"/>
        </w:trPr>
        <w:tc>
          <w:tcPr>
            <w:tcW w:w="450" w:type="dxa"/>
            <w:vMerge w:val="restart"/>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2</w:t>
            </w:r>
          </w:p>
        </w:tc>
        <w:tc>
          <w:tcPr>
            <w:tcW w:w="600" w:type="dxa"/>
            <w:vMerge/>
            <w:vAlign w:val="center"/>
          </w:tcPr>
          <w:p w:rsidR="004C2863" w:rsidRDefault="004C2863">
            <w:pPr>
              <w:spacing w:line="180" w:lineRule="exact"/>
              <w:rPr>
                <w:rFonts w:ascii="仿宋" w:hAnsi="仿宋" w:cs="仿宋"/>
                <w:color w:val="000000" w:themeColor="text1"/>
                <w:sz w:val="18"/>
                <w:szCs w:val="18"/>
              </w:rPr>
            </w:pPr>
          </w:p>
        </w:tc>
        <w:tc>
          <w:tcPr>
            <w:tcW w:w="619" w:type="dxa"/>
            <w:vMerge w:val="restart"/>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管理制度</w:t>
            </w:r>
          </w:p>
        </w:tc>
        <w:tc>
          <w:tcPr>
            <w:tcW w:w="4167" w:type="dxa"/>
            <w:vMerge w:val="restart"/>
            <w:vAlign w:val="center"/>
          </w:tcPr>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1.</w:t>
            </w:r>
            <w:r>
              <w:rPr>
                <w:rFonts w:ascii="仿宋" w:hAnsi="仿宋" w:cs="仿宋" w:hint="eastAsia"/>
                <w:color w:val="000000" w:themeColor="text1"/>
                <w:sz w:val="18"/>
                <w:szCs w:val="18"/>
              </w:rPr>
              <w:t>煤矿应建立并以正式文件（红头文）形式下发双重预防机制管理制度，内容包括但不限于：煤矿安全双重预防机制责任落实、安全风险辨识与评估、安全风险分级管控、安全风险公告与报告、岗位作业流程标准化、事故隐患排查与登记、事故隐患治理与督办、事故隐患验收与销号、双重预防机制教育培训、检查考核、持续改进等</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2.</w:t>
            </w:r>
            <w:r>
              <w:rPr>
                <w:rFonts w:ascii="仿宋" w:hAnsi="仿宋" w:cs="仿宋" w:hint="eastAsia"/>
                <w:color w:val="000000" w:themeColor="text1"/>
                <w:sz w:val="18"/>
                <w:szCs w:val="18"/>
              </w:rPr>
              <w:t>将风险预判防控纳入安全生产责任制。</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制度以正式文件（红头文）形式下发。</w:t>
            </w:r>
            <w:r>
              <w:rPr>
                <w:rFonts w:ascii="仿宋" w:hAnsi="仿宋" w:cs="仿宋" w:hint="eastAsia"/>
                <w:color w:val="000000" w:themeColor="text1"/>
                <w:spacing w:val="11"/>
                <w:sz w:val="18"/>
                <w:szCs w:val="18"/>
              </w:rPr>
              <w:t xml:space="preserve"> </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制度文件包含检查内容相应的内容要求。</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安全生产责任制中明确重大风险预判防控职责</w:t>
            </w:r>
            <w:r>
              <w:rPr>
                <w:rFonts w:ascii="仿宋" w:hAnsi="仿宋" w:cs="仿宋" w:hint="eastAsia"/>
                <w:color w:val="000000" w:themeColor="text1"/>
                <w:sz w:val="18"/>
                <w:szCs w:val="18"/>
              </w:rPr>
              <w:t>。</w:t>
            </w:r>
          </w:p>
        </w:tc>
        <w:tc>
          <w:tcPr>
            <w:tcW w:w="2711" w:type="dxa"/>
            <w:vMerge w:val="restart"/>
            <w:vAlign w:val="center"/>
          </w:tcPr>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kern w:val="0"/>
                <w:sz w:val="18"/>
                <w:szCs w:val="18"/>
                <w:lang w:bidi="ar"/>
              </w:rPr>
              <w:t>查矿端系统、查资料：</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检查矿井正式下发的责任制、制度文件。</w:t>
            </w:r>
          </w:p>
          <w:p w:rsidR="004C2863" w:rsidRDefault="00510AEA">
            <w:pPr>
              <w:pStyle w:val="TableParagraph"/>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1"/>
                <w:sz w:val="18"/>
                <w:szCs w:val="18"/>
              </w:rPr>
              <w:t>查矿端系统制度文件存档或查公布的正式文件。</w:t>
            </w:r>
          </w:p>
        </w:tc>
        <w:tc>
          <w:tcPr>
            <w:tcW w:w="1185" w:type="dxa"/>
            <w:vMerge w:val="restart"/>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vMerge w:val="restart"/>
          </w:tcPr>
          <w:p w:rsidR="004C2863" w:rsidRDefault="004C2863">
            <w:pPr>
              <w:spacing w:line="0" w:lineRule="atLeast"/>
              <w:rPr>
                <w:rFonts w:ascii="仿宋" w:hAnsi="仿宋" w:cs="仿宋"/>
                <w:color w:val="000000" w:themeColor="text1"/>
                <w:sz w:val="18"/>
                <w:szCs w:val="18"/>
              </w:rPr>
            </w:pPr>
          </w:p>
        </w:tc>
      </w:tr>
      <w:tr w:rsidR="004C2863">
        <w:trPr>
          <w:trHeight w:val="558"/>
        </w:trPr>
        <w:tc>
          <w:tcPr>
            <w:tcW w:w="450" w:type="dxa"/>
            <w:vMerge/>
            <w:vAlign w:val="center"/>
          </w:tcPr>
          <w:p w:rsidR="004C2863" w:rsidRDefault="004C2863">
            <w:pPr>
              <w:spacing w:line="180" w:lineRule="exact"/>
              <w:jc w:val="center"/>
              <w:rPr>
                <w:rFonts w:ascii="仿宋" w:hAnsi="仿宋" w:cs="仿宋"/>
                <w:color w:val="000000" w:themeColor="text1"/>
                <w:sz w:val="18"/>
                <w:szCs w:val="18"/>
              </w:rPr>
            </w:pPr>
          </w:p>
        </w:tc>
        <w:tc>
          <w:tcPr>
            <w:tcW w:w="600" w:type="dxa"/>
            <w:vMerge/>
            <w:vAlign w:val="center"/>
          </w:tcPr>
          <w:p w:rsidR="004C2863" w:rsidRDefault="004C2863">
            <w:pPr>
              <w:spacing w:line="180" w:lineRule="exact"/>
              <w:rPr>
                <w:rFonts w:ascii="仿宋" w:hAnsi="仿宋" w:cs="仿宋"/>
                <w:color w:val="000000" w:themeColor="text1"/>
                <w:sz w:val="18"/>
                <w:szCs w:val="18"/>
              </w:rPr>
            </w:pPr>
          </w:p>
        </w:tc>
        <w:tc>
          <w:tcPr>
            <w:tcW w:w="619" w:type="dxa"/>
            <w:vMerge/>
            <w:vAlign w:val="center"/>
          </w:tcPr>
          <w:p w:rsidR="004C2863" w:rsidRDefault="004C2863">
            <w:pPr>
              <w:spacing w:line="180" w:lineRule="exact"/>
              <w:rPr>
                <w:rFonts w:ascii="仿宋" w:hAnsi="仿宋" w:cs="仿宋"/>
                <w:color w:val="000000" w:themeColor="text1"/>
                <w:sz w:val="18"/>
                <w:szCs w:val="18"/>
              </w:rPr>
            </w:pPr>
          </w:p>
        </w:tc>
        <w:tc>
          <w:tcPr>
            <w:tcW w:w="4167" w:type="dxa"/>
            <w:vMerge/>
            <w:vAlign w:val="center"/>
          </w:tcPr>
          <w:p w:rsidR="004C2863" w:rsidRDefault="004C2863">
            <w:pPr>
              <w:pStyle w:val="TableParagraph"/>
              <w:spacing w:line="180" w:lineRule="exact"/>
              <w:rPr>
                <w:rFonts w:ascii="仿宋" w:hAnsi="仿宋" w:cs="仿宋"/>
                <w:color w:val="000000" w:themeColor="text1"/>
                <w:sz w:val="18"/>
                <w:szCs w:val="18"/>
              </w:rPr>
            </w:pPr>
          </w:p>
        </w:tc>
        <w:tc>
          <w:tcPr>
            <w:tcW w:w="3663" w:type="dxa"/>
            <w:vAlign w:val="center"/>
          </w:tcPr>
          <w:p w:rsidR="004C2863" w:rsidRDefault="00510AEA">
            <w:pPr>
              <w:widowControl/>
              <w:spacing w:line="180" w:lineRule="exact"/>
              <w:rPr>
                <w:rFonts w:ascii="仿宋" w:hAnsi="仿宋" w:cs="仿宋"/>
                <w:color w:val="000000" w:themeColor="text1"/>
                <w:sz w:val="18"/>
                <w:szCs w:val="18"/>
              </w:rPr>
            </w:pPr>
            <w:r>
              <w:rPr>
                <w:rFonts w:ascii="仿宋" w:hAnsi="仿宋" w:cs="仿宋" w:hint="eastAsia"/>
                <w:color w:val="000000" w:themeColor="text1"/>
                <w:kern w:val="0"/>
                <w:sz w:val="18"/>
                <w:szCs w:val="18"/>
                <w:lang w:bidi="ar"/>
              </w:rPr>
              <w:t>否决项：</w:t>
            </w:r>
          </w:p>
          <w:p w:rsidR="004C2863" w:rsidRDefault="00510AEA">
            <w:pPr>
              <w:widowControl/>
              <w:spacing w:line="180" w:lineRule="exact"/>
              <w:rPr>
                <w:rFonts w:ascii="仿宋" w:hAnsi="仿宋" w:cs="仿宋"/>
                <w:color w:val="000000" w:themeColor="text1"/>
                <w:spacing w:val="11"/>
                <w:sz w:val="18"/>
                <w:szCs w:val="18"/>
              </w:rPr>
            </w:pPr>
            <w:r>
              <w:rPr>
                <w:rFonts w:ascii="仿宋" w:hAnsi="仿宋" w:cs="仿宋" w:hint="eastAsia"/>
                <w:color w:val="000000" w:themeColor="text1"/>
                <w:kern w:val="0"/>
                <w:sz w:val="18"/>
                <w:szCs w:val="18"/>
                <w:lang w:bidi="ar"/>
              </w:rPr>
              <w:t>未建立双重预防机制相关制度。</w:t>
            </w:r>
          </w:p>
        </w:tc>
        <w:tc>
          <w:tcPr>
            <w:tcW w:w="2711" w:type="dxa"/>
            <w:vMerge/>
            <w:vAlign w:val="center"/>
          </w:tcPr>
          <w:p w:rsidR="004C2863" w:rsidRDefault="004C2863">
            <w:pPr>
              <w:pStyle w:val="TableParagraph"/>
              <w:spacing w:line="180" w:lineRule="exact"/>
              <w:rPr>
                <w:rFonts w:ascii="仿宋" w:hAnsi="仿宋" w:cs="仿宋"/>
                <w:color w:val="000000" w:themeColor="text1"/>
                <w:spacing w:val="16"/>
                <w:sz w:val="18"/>
                <w:szCs w:val="18"/>
              </w:rPr>
            </w:pPr>
          </w:p>
        </w:tc>
        <w:tc>
          <w:tcPr>
            <w:tcW w:w="1185" w:type="dxa"/>
            <w:vMerge/>
            <w:vAlign w:val="center"/>
          </w:tcPr>
          <w:p w:rsidR="004C2863" w:rsidRDefault="004C2863">
            <w:pPr>
              <w:spacing w:line="180" w:lineRule="exact"/>
              <w:rPr>
                <w:rFonts w:ascii="仿宋" w:hAnsi="仿宋" w:cs="仿宋"/>
                <w:color w:val="000000" w:themeColor="text1"/>
                <w:spacing w:val="16"/>
                <w:sz w:val="18"/>
                <w:szCs w:val="18"/>
              </w:rPr>
            </w:pPr>
          </w:p>
        </w:tc>
        <w:tc>
          <w:tcPr>
            <w:tcW w:w="612" w:type="dxa"/>
            <w:vMerge/>
          </w:tcPr>
          <w:p w:rsidR="004C2863" w:rsidRDefault="004C2863">
            <w:pPr>
              <w:spacing w:line="0" w:lineRule="atLeast"/>
              <w:rPr>
                <w:rFonts w:ascii="仿宋" w:hAnsi="仿宋" w:cs="仿宋"/>
                <w:color w:val="000000" w:themeColor="text1"/>
                <w:sz w:val="18"/>
                <w:szCs w:val="18"/>
              </w:rPr>
            </w:pPr>
          </w:p>
        </w:tc>
      </w:tr>
      <w:tr w:rsidR="004C2863">
        <w:trPr>
          <w:trHeight w:val="1108"/>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lastRenderedPageBreak/>
              <w:t>3</w:t>
            </w:r>
          </w:p>
        </w:tc>
        <w:tc>
          <w:tcPr>
            <w:tcW w:w="600" w:type="dxa"/>
            <w:vMerge w:val="restart"/>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风险分析辨识</w:t>
            </w: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风险</w:t>
            </w:r>
          </w:p>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点划</w:t>
            </w:r>
          </w:p>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分</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风险点划分台账</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风险点台账应覆盖所有生产区域和生产系统</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风险点台账应根据现场实际及时更新。</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风险</w:t>
            </w:r>
            <w:r>
              <w:rPr>
                <w:rFonts w:ascii="仿宋" w:hAnsi="仿宋" w:cs="仿宋" w:hint="eastAsia"/>
                <w:color w:val="000000" w:themeColor="text1"/>
                <w:spacing w:val="11"/>
                <w:sz w:val="18"/>
                <w:szCs w:val="18"/>
              </w:rPr>
              <w:t>点</w:t>
            </w:r>
            <w:r>
              <w:rPr>
                <w:rFonts w:ascii="仿宋" w:hAnsi="仿宋" w:cs="仿宋" w:hint="eastAsia"/>
                <w:color w:val="000000" w:themeColor="text1"/>
                <w:spacing w:val="11"/>
                <w:sz w:val="18"/>
                <w:szCs w:val="18"/>
              </w:rPr>
              <w:t>划分合理</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风险</w:t>
            </w:r>
            <w:r>
              <w:rPr>
                <w:rFonts w:ascii="仿宋" w:hAnsi="仿宋" w:cs="仿宋" w:hint="eastAsia"/>
                <w:color w:val="000000" w:themeColor="text1"/>
                <w:spacing w:val="11"/>
                <w:sz w:val="18"/>
                <w:szCs w:val="18"/>
              </w:rPr>
              <w:t>点</w:t>
            </w:r>
            <w:r>
              <w:rPr>
                <w:rFonts w:ascii="仿宋" w:hAnsi="仿宋" w:cs="仿宋" w:hint="eastAsia"/>
                <w:color w:val="000000" w:themeColor="text1"/>
                <w:spacing w:val="11"/>
                <w:sz w:val="18"/>
                <w:szCs w:val="18"/>
              </w:rPr>
              <w:t>和现场实际符合</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风险</w:t>
            </w:r>
            <w:r>
              <w:rPr>
                <w:rFonts w:ascii="仿宋" w:hAnsi="仿宋" w:cs="仿宋" w:hint="eastAsia"/>
                <w:color w:val="000000" w:themeColor="text1"/>
                <w:spacing w:val="11"/>
                <w:sz w:val="18"/>
                <w:szCs w:val="18"/>
              </w:rPr>
              <w:t>点</w:t>
            </w:r>
            <w:r>
              <w:rPr>
                <w:rFonts w:ascii="仿宋" w:hAnsi="仿宋" w:cs="仿宋" w:hint="eastAsia"/>
                <w:color w:val="000000" w:themeColor="text1"/>
                <w:spacing w:val="11"/>
                <w:sz w:val="18"/>
                <w:szCs w:val="18"/>
              </w:rPr>
              <w:t>台账及时更新</w:t>
            </w:r>
            <w:r>
              <w:rPr>
                <w:rFonts w:ascii="仿宋" w:hAnsi="仿宋" w:cs="仿宋" w:hint="eastAsia"/>
                <w:color w:val="000000" w:themeColor="text1"/>
                <w:spacing w:val="11"/>
                <w:sz w:val="18"/>
                <w:szCs w:val="18"/>
              </w:rPr>
              <w:t>。</w:t>
            </w:r>
          </w:p>
        </w:tc>
        <w:tc>
          <w:tcPr>
            <w:tcW w:w="2711" w:type="dxa"/>
            <w:vAlign w:val="center"/>
          </w:tcPr>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kern w:val="0"/>
                <w:sz w:val="18"/>
                <w:szCs w:val="18"/>
                <w:lang w:bidi="ar"/>
              </w:rPr>
              <w:t>查矿端系统：</w:t>
            </w:r>
            <w:r>
              <w:rPr>
                <w:rFonts w:ascii="仿宋" w:hAnsi="仿宋" w:cs="仿宋" w:hint="eastAsia"/>
                <w:color w:val="000000" w:themeColor="text1"/>
                <w:kern w:val="0"/>
                <w:sz w:val="18"/>
                <w:szCs w:val="18"/>
                <w:lang w:bidi="ar"/>
              </w:rPr>
              <w:t xml:space="preserve"> </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查矿端系统中风险点台账。</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kern w:val="0"/>
                <w:sz w:val="18"/>
                <w:szCs w:val="18"/>
                <w:lang w:bidi="ar"/>
              </w:rPr>
              <w:t>抽查现场：</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通过生产系统、生产现场判断是否遗漏风险点。</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1897"/>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4</w:t>
            </w:r>
          </w:p>
        </w:tc>
        <w:tc>
          <w:tcPr>
            <w:tcW w:w="600" w:type="dxa"/>
            <w:vMerge/>
            <w:vAlign w:val="center"/>
          </w:tcPr>
          <w:p w:rsidR="004C2863" w:rsidRDefault="004C2863">
            <w:pPr>
              <w:spacing w:line="180" w:lineRule="exact"/>
              <w:rPr>
                <w:rFonts w:ascii="仿宋" w:hAnsi="仿宋" w:cs="仿宋"/>
                <w:color w:val="000000" w:themeColor="text1"/>
                <w:sz w:val="18"/>
                <w:szCs w:val="18"/>
              </w:rPr>
            </w:pP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安全风险辨识评估</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年度安全风险辨识评估报告</w:t>
            </w:r>
            <w:r>
              <w:rPr>
                <w:rFonts w:ascii="仿宋" w:hAnsi="仿宋" w:cs="仿宋" w:hint="eastAsia"/>
                <w:color w:val="000000" w:themeColor="text1"/>
                <w:spacing w:val="11"/>
                <w:sz w:val="18"/>
                <w:szCs w:val="18"/>
              </w:rPr>
              <w:t>、专项辨识报告、</w:t>
            </w:r>
            <w:r>
              <w:rPr>
                <w:rFonts w:ascii="仿宋" w:hAnsi="仿宋" w:cs="仿宋" w:hint="eastAsia"/>
                <w:color w:val="000000" w:themeColor="text1"/>
                <w:spacing w:val="11"/>
                <w:sz w:val="18"/>
                <w:szCs w:val="18"/>
              </w:rPr>
              <w:t>安全风险清单和《煤矿重大安全风险管控方案》</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煤矿安全风险四色图</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安全风险及时录入矿</w:t>
            </w:r>
            <w:r>
              <w:rPr>
                <w:rFonts w:ascii="仿宋" w:hAnsi="仿宋" w:cs="仿宋" w:hint="eastAsia"/>
                <w:color w:val="000000" w:themeColor="text1"/>
                <w:spacing w:val="11"/>
                <w:sz w:val="18"/>
                <w:szCs w:val="18"/>
              </w:rPr>
              <w:t>井“双控”</w:t>
            </w:r>
            <w:r>
              <w:rPr>
                <w:rFonts w:ascii="仿宋" w:hAnsi="仿宋" w:cs="仿宋" w:hint="eastAsia"/>
                <w:color w:val="000000" w:themeColor="text1"/>
                <w:spacing w:val="11"/>
                <w:sz w:val="18"/>
                <w:szCs w:val="18"/>
              </w:rPr>
              <w:t>系统。</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开展年度风险辨识、专项风险辨识及岗位风险辨识。编制年度、专项风险辨识评估报告及《煤矿重大安全风险管控方案》</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科学</w:t>
            </w:r>
            <w:r>
              <w:rPr>
                <w:rFonts w:ascii="仿宋" w:hAnsi="仿宋" w:cs="仿宋" w:hint="eastAsia"/>
                <w:color w:val="000000" w:themeColor="text1"/>
                <w:spacing w:val="11"/>
                <w:sz w:val="18"/>
                <w:szCs w:val="18"/>
              </w:rPr>
              <w:t>合理评估安全风险等级并形成安全风险四色图</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重大安全风险清单无遗漏</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风险辨识结果及时录入矿</w:t>
            </w:r>
            <w:r>
              <w:rPr>
                <w:rFonts w:ascii="仿宋" w:hAnsi="仿宋" w:cs="仿宋" w:hint="eastAsia"/>
                <w:color w:val="000000" w:themeColor="text1"/>
                <w:spacing w:val="11"/>
                <w:sz w:val="18"/>
                <w:szCs w:val="18"/>
              </w:rPr>
              <w:t>井</w:t>
            </w:r>
            <w:r>
              <w:rPr>
                <w:rFonts w:ascii="仿宋" w:hAnsi="仿宋" w:cs="仿宋" w:hint="eastAsia"/>
                <w:color w:val="000000" w:themeColor="text1"/>
                <w:spacing w:val="11"/>
                <w:sz w:val="18"/>
                <w:szCs w:val="18"/>
              </w:rPr>
              <w:t>系统</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5</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参与辨识评估人员熟悉评估流程、方法、评估基本知识</w:t>
            </w:r>
            <w:r>
              <w:rPr>
                <w:rFonts w:ascii="仿宋" w:hAnsi="仿宋" w:cs="仿宋" w:hint="eastAsia"/>
                <w:color w:val="000000" w:themeColor="text1"/>
                <w:sz w:val="18"/>
                <w:szCs w:val="18"/>
              </w:rPr>
              <w:t>。</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查矿</w:t>
            </w:r>
            <w:r>
              <w:rPr>
                <w:rFonts w:ascii="仿宋" w:hAnsi="仿宋" w:cs="仿宋" w:hint="eastAsia"/>
                <w:color w:val="000000" w:themeColor="text1"/>
                <w:spacing w:val="11"/>
                <w:sz w:val="18"/>
                <w:szCs w:val="18"/>
              </w:rPr>
              <w:t>井风险</w:t>
            </w:r>
            <w:r>
              <w:rPr>
                <w:rFonts w:ascii="仿宋" w:hAnsi="仿宋" w:cs="仿宋" w:hint="eastAsia"/>
                <w:color w:val="000000" w:themeColor="text1"/>
                <w:spacing w:val="11"/>
                <w:sz w:val="18"/>
                <w:szCs w:val="18"/>
              </w:rPr>
              <w:t>辨识对象库</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查风险辨识记录和实际工作开展是否一致</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查矿</w:t>
            </w:r>
            <w:r>
              <w:rPr>
                <w:rFonts w:ascii="仿宋" w:hAnsi="仿宋" w:cs="仿宋" w:hint="eastAsia"/>
                <w:color w:val="000000" w:themeColor="text1"/>
                <w:spacing w:val="11"/>
                <w:sz w:val="18"/>
                <w:szCs w:val="18"/>
              </w:rPr>
              <w:t>井</w:t>
            </w:r>
            <w:r>
              <w:rPr>
                <w:rFonts w:ascii="仿宋" w:hAnsi="仿宋" w:cs="仿宋" w:hint="eastAsia"/>
                <w:color w:val="000000" w:themeColor="text1"/>
                <w:spacing w:val="11"/>
                <w:sz w:val="18"/>
                <w:szCs w:val="18"/>
              </w:rPr>
              <w:t>系统重大安全风险清单</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查矿</w:t>
            </w:r>
            <w:r>
              <w:rPr>
                <w:rFonts w:ascii="仿宋" w:hAnsi="仿宋" w:cs="仿宋" w:hint="eastAsia"/>
                <w:color w:val="000000" w:themeColor="text1"/>
                <w:spacing w:val="11"/>
                <w:sz w:val="18"/>
                <w:szCs w:val="18"/>
              </w:rPr>
              <w:t>井</w:t>
            </w:r>
            <w:r>
              <w:rPr>
                <w:rFonts w:ascii="仿宋" w:hAnsi="仿宋" w:cs="仿宋" w:hint="eastAsia"/>
                <w:color w:val="000000" w:themeColor="text1"/>
                <w:spacing w:val="11"/>
                <w:sz w:val="18"/>
                <w:szCs w:val="18"/>
              </w:rPr>
              <w:t>安全风险四色图。询问相关人员是否熟知风险</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辨识评估评估基本知识</w:t>
            </w:r>
            <w:r>
              <w:rPr>
                <w:rFonts w:ascii="仿宋" w:hAnsi="仿宋" w:cs="仿宋" w:hint="eastAsia"/>
                <w:color w:val="000000" w:themeColor="text1"/>
                <w:sz w:val="18"/>
                <w:szCs w:val="18"/>
              </w:rPr>
              <w:t>。</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1271"/>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5</w:t>
            </w:r>
          </w:p>
        </w:tc>
        <w:tc>
          <w:tcPr>
            <w:tcW w:w="600" w:type="dxa"/>
            <w:vMerge w:val="restart"/>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风险</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分级</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管控</w:t>
            </w: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安全风险管控措施</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安全风险管控措施</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重大风险应编制风险管控方案</w:t>
            </w:r>
            <w:r>
              <w:rPr>
                <w:rFonts w:ascii="仿宋" w:hAnsi="仿宋" w:cs="仿宋" w:hint="eastAsia"/>
                <w:color w:val="000000" w:themeColor="text1"/>
                <w:sz w:val="18"/>
                <w:szCs w:val="18"/>
              </w:rPr>
              <w:t>。</w:t>
            </w:r>
          </w:p>
        </w:tc>
        <w:tc>
          <w:tcPr>
            <w:tcW w:w="3663" w:type="dxa"/>
            <w:vAlign w:val="center"/>
          </w:tcPr>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风险</w:t>
            </w:r>
            <w:r>
              <w:rPr>
                <w:rFonts w:ascii="仿宋" w:hAnsi="仿宋" w:cs="仿宋" w:hint="eastAsia"/>
                <w:color w:val="000000" w:themeColor="text1"/>
                <w:spacing w:val="11"/>
                <w:sz w:val="18"/>
                <w:szCs w:val="18"/>
              </w:rPr>
              <w:t>管控措施符合安全生产法律、法规、标准及规程相关要求</w:t>
            </w:r>
            <w:r>
              <w:rPr>
                <w:rFonts w:ascii="仿宋" w:hAnsi="仿宋" w:cs="仿宋" w:hint="eastAsia"/>
                <w:color w:val="000000" w:themeColor="text1"/>
                <w:spacing w:val="11"/>
                <w:sz w:val="18"/>
                <w:szCs w:val="18"/>
              </w:rPr>
              <w:t>，符合实际</w:t>
            </w:r>
            <w:r>
              <w:rPr>
                <w:rFonts w:ascii="仿宋" w:hAnsi="仿宋" w:cs="仿宋" w:hint="eastAsia"/>
                <w:color w:val="000000" w:themeColor="text1"/>
                <w:spacing w:val="11"/>
                <w:sz w:val="18"/>
                <w:szCs w:val="18"/>
              </w:rPr>
              <w:t>、具备安全性、可行性、可靠性</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重大风险制定管控方案</w:t>
            </w:r>
            <w:r>
              <w:rPr>
                <w:rFonts w:ascii="仿宋" w:hAnsi="仿宋" w:cs="仿宋" w:hint="eastAsia"/>
                <w:color w:val="000000" w:themeColor="text1"/>
                <w:spacing w:val="11"/>
                <w:sz w:val="18"/>
                <w:szCs w:val="18"/>
              </w:rPr>
              <w:t>完善</w:t>
            </w:r>
            <w:r>
              <w:rPr>
                <w:rFonts w:ascii="仿宋" w:hAnsi="仿宋" w:cs="仿宋" w:hint="eastAsia"/>
                <w:color w:val="000000" w:themeColor="text1"/>
                <w:spacing w:val="11"/>
                <w:sz w:val="18"/>
                <w:szCs w:val="18"/>
              </w:rPr>
              <w:t>且内容无遗漏</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管控措施通过矿</w:t>
            </w:r>
            <w:r>
              <w:rPr>
                <w:rFonts w:ascii="仿宋" w:hAnsi="仿宋" w:cs="仿宋" w:hint="eastAsia"/>
                <w:color w:val="000000" w:themeColor="text1"/>
                <w:spacing w:val="11"/>
                <w:sz w:val="18"/>
                <w:szCs w:val="18"/>
              </w:rPr>
              <w:t>井</w:t>
            </w:r>
            <w:r>
              <w:rPr>
                <w:rFonts w:ascii="仿宋" w:hAnsi="仿宋" w:cs="仿宋" w:hint="eastAsia"/>
                <w:color w:val="000000" w:themeColor="text1"/>
                <w:spacing w:val="11"/>
                <w:sz w:val="18"/>
                <w:szCs w:val="18"/>
              </w:rPr>
              <w:t>系统上传、应用。</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抽查矿</w:t>
            </w:r>
            <w:r>
              <w:rPr>
                <w:rFonts w:ascii="仿宋" w:hAnsi="仿宋" w:cs="仿宋" w:hint="eastAsia"/>
                <w:color w:val="000000" w:themeColor="text1"/>
                <w:spacing w:val="11"/>
                <w:sz w:val="18"/>
                <w:szCs w:val="18"/>
              </w:rPr>
              <w:t>井</w:t>
            </w:r>
            <w:r>
              <w:rPr>
                <w:rFonts w:ascii="仿宋" w:hAnsi="仿宋" w:cs="仿宋" w:hint="eastAsia"/>
                <w:color w:val="000000" w:themeColor="text1"/>
                <w:spacing w:val="11"/>
                <w:sz w:val="18"/>
                <w:szCs w:val="18"/>
              </w:rPr>
              <w:t>10</w:t>
            </w:r>
            <w:r>
              <w:rPr>
                <w:rFonts w:ascii="仿宋" w:hAnsi="仿宋" w:cs="仿宋" w:hint="eastAsia"/>
                <w:color w:val="000000" w:themeColor="text1"/>
                <w:spacing w:val="11"/>
                <w:sz w:val="18"/>
                <w:szCs w:val="18"/>
              </w:rPr>
              <w:t>条</w:t>
            </w:r>
            <w:r>
              <w:rPr>
                <w:rFonts w:ascii="仿宋" w:hAnsi="仿宋" w:cs="仿宋" w:hint="eastAsia"/>
                <w:color w:val="000000" w:themeColor="text1"/>
                <w:spacing w:val="11"/>
                <w:sz w:val="18"/>
                <w:szCs w:val="18"/>
              </w:rPr>
              <w:t>风险的管控措施</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查重大安全风险管控方案</w:t>
            </w:r>
            <w:r>
              <w:rPr>
                <w:rFonts w:ascii="仿宋" w:hAnsi="仿宋" w:cs="仿宋" w:hint="eastAsia"/>
                <w:color w:val="000000" w:themeColor="text1"/>
                <w:sz w:val="18"/>
                <w:szCs w:val="18"/>
              </w:rPr>
              <w:t>。</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1712"/>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6</w:t>
            </w:r>
          </w:p>
        </w:tc>
        <w:tc>
          <w:tcPr>
            <w:tcW w:w="600" w:type="dxa"/>
            <w:vMerge/>
            <w:vAlign w:val="center"/>
          </w:tcPr>
          <w:p w:rsidR="004C2863" w:rsidRDefault="004C2863">
            <w:pPr>
              <w:spacing w:line="180" w:lineRule="exact"/>
              <w:rPr>
                <w:rFonts w:ascii="仿宋" w:hAnsi="仿宋" w:cs="仿宋"/>
                <w:color w:val="000000" w:themeColor="text1"/>
                <w:sz w:val="18"/>
                <w:szCs w:val="18"/>
              </w:rPr>
            </w:pP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风险</w:t>
            </w:r>
          </w:p>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分级</w:t>
            </w:r>
          </w:p>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管控</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煤矿风险分级管控责任制；</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安全风险按照分系统、分专业、分区域划分管控单元，实行统分结合</w:t>
            </w:r>
            <w:r>
              <w:rPr>
                <w:rFonts w:ascii="仿宋" w:hAnsi="仿宋" w:cs="仿宋" w:hint="eastAsia"/>
                <w:color w:val="000000" w:themeColor="text1"/>
                <w:spacing w:val="11"/>
                <w:sz w:val="18"/>
                <w:szCs w:val="18"/>
              </w:rPr>
              <w:t>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各级人员根据实际情况落实相应的安全风险管控措施</w:t>
            </w:r>
            <w:r>
              <w:rPr>
                <w:rFonts w:ascii="仿宋" w:hAnsi="仿宋" w:cs="仿宋" w:hint="eastAsia"/>
                <w:color w:val="000000" w:themeColor="text1"/>
                <w:spacing w:val="11"/>
                <w:sz w:val="18"/>
                <w:szCs w:val="18"/>
              </w:rPr>
              <w:t>情况；</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矿长</w:t>
            </w:r>
            <w:r>
              <w:rPr>
                <w:rFonts w:ascii="仿宋" w:hAnsi="仿宋" w:cs="仿宋" w:hint="eastAsia"/>
                <w:color w:val="000000" w:themeColor="text1"/>
                <w:spacing w:val="11"/>
                <w:sz w:val="18"/>
                <w:szCs w:val="18"/>
              </w:rPr>
              <w:t>负责</w:t>
            </w:r>
            <w:r>
              <w:rPr>
                <w:rFonts w:ascii="仿宋" w:hAnsi="仿宋" w:cs="仿宋" w:hint="eastAsia"/>
                <w:color w:val="000000" w:themeColor="text1"/>
                <w:spacing w:val="11"/>
                <w:sz w:val="18"/>
                <w:szCs w:val="18"/>
              </w:rPr>
              <w:t>组织落实重大安全风险管控措施</w:t>
            </w:r>
            <w:r>
              <w:rPr>
                <w:rFonts w:ascii="仿宋" w:hAnsi="仿宋" w:cs="仿宋" w:hint="eastAsia"/>
                <w:color w:val="000000" w:themeColor="text1"/>
                <w:spacing w:val="11"/>
                <w:sz w:val="18"/>
                <w:szCs w:val="18"/>
              </w:rPr>
              <w:t>情况</w:t>
            </w:r>
            <w:r>
              <w:rPr>
                <w:rFonts w:ascii="仿宋" w:hAnsi="仿宋" w:cs="仿宋" w:hint="eastAsia"/>
                <w:color w:val="000000" w:themeColor="text1"/>
                <w:spacing w:val="11"/>
                <w:sz w:val="18"/>
                <w:szCs w:val="18"/>
              </w:rPr>
              <w:t>。</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风险管控层级划分</w:t>
            </w:r>
            <w:r>
              <w:rPr>
                <w:rFonts w:ascii="仿宋" w:hAnsi="仿宋" w:cs="仿宋" w:hint="eastAsia"/>
                <w:color w:val="000000" w:themeColor="text1"/>
                <w:spacing w:val="11"/>
                <w:sz w:val="18"/>
                <w:szCs w:val="18"/>
              </w:rPr>
              <w:t>切合实际，</w:t>
            </w:r>
            <w:r>
              <w:rPr>
                <w:rFonts w:ascii="仿宋" w:hAnsi="仿宋" w:cs="仿宋" w:hint="eastAsia"/>
                <w:color w:val="000000" w:themeColor="text1"/>
                <w:spacing w:val="11"/>
                <w:sz w:val="18"/>
                <w:szCs w:val="18"/>
              </w:rPr>
              <w:t>符合要求</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管控单元划分合理</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部门责任明确</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企业主要、分管、部门负责人</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岗位人员掌握本岗位风险和管控措施</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重大安全风险管控人员、技术、资金满足要求</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措施落实到位</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管控措施落实检查情况及时反馈在矿</w:t>
            </w:r>
            <w:r>
              <w:rPr>
                <w:rFonts w:ascii="仿宋" w:hAnsi="仿宋" w:cs="仿宋" w:hint="eastAsia"/>
                <w:color w:val="000000" w:themeColor="text1"/>
                <w:spacing w:val="11"/>
                <w:sz w:val="18"/>
                <w:szCs w:val="18"/>
              </w:rPr>
              <w:t>井双控“</w:t>
            </w:r>
            <w:r>
              <w:rPr>
                <w:rFonts w:ascii="仿宋" w:hAnsi="仿宋" w:cs="仿宋" w:hint="eastAsia"/>
                <w:color w:val="000000" w:themeColor="text1"/>
                <w:spacing w:val="11"/>
                <w:sz w:val="18"/>
                <w:szCs w:val="18"/>
              </w:rPr>
              <w:t>系统</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中。</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查矿</w:t>
            </w:r>
            <w:r>
              <w:rPr>
                <w:rFonts w:ascii="仿宋" w:hAnsi="仿宋" w:cs="仿宋" w:hint="eastAsia"/>
                <w:color w:val="000000" w:themeColor="text1"/>
                <w:spacing w:val="11"/>
                <w:sz w:val="18"/>
                <w:szCs w:val="18"/>
              </w:rPr>
              <w:t>井</w:t>
            </w:r>
            <w:r>
              <w:rPr>
                <w:rFonts w:ascii="仿宋" w:hAnsi="仿宋" w:cs="仿宋" w:hint="eastAsia"/>
                <w:color w:val="000000" w:themeColor="text1"/>
                <w:spacing w:val="11"/>
                <w:sz w:val="18"/>
                <w:szCs w:val="18"/>
              </w:rPr>
              <w:t>重大安全风险管控方案</w:t>
            </w:r>
            <w:r>
              <w:rPr>
                <w:rFonts w:ascii="仿宋" w:hAnsi="仿宋" w:cs="仿宋" w:hint="eastAsia"/>
                <w:color w:val="000000" w:themeColor="text1"/>
                <w:spacing w:val="11"/>
                <w:sz w:val="18"/>
                <w:szCs w:val="18"/>
              </w:rPr>
              <w:t>及落实情况</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抽</w:t>
            </w:r>
            <w:r>
              <w:rPr>
                <w:rFonts w:ascii="仿宋" w:hAnsi="仿宋" w:cs="仿宋" w:hint="eastAsia"/>
                <w:color w:val="000000" w:themeColor="text1"/>
                <w:spacing w:val="11"/>
                <w:sz w:val="18"/>
                <w:szCs w:val="18"/>
              </w:rPr>
              <w:t>查询问企业主要、分管、部门</w:t>
            </w:r>
            <w:r>
              <w:rPr>
                <w:rFonts w:ascii="仿宋" w:hAnsi="仿宋" w:cs="仿宋" w:hint="eastAsia"/>
                <w:color w:val="000000" w:themeColor="text1"/>
                <w:spacing w:val="11"/>
                <w:sz w:val="18"/>
                <w:szCs w:val="18"/>
              </w:rPr>
              <w:t>负责人及</w:t>
            </w:r>
            <w:r>
              <w:rPr>
                <w:rFonts w:ascii="仿宋" w:hAnsi="仿宋" w:cs="仿宋" w:hint="eastAsia"/>
                <w:color w:val="000000" w:themeColor="text1"/>
                <w:spacing w:val="11"/>
                <w:sz w:val="18"/>
                <w:szCs w:val="18"/>
              </w:rPr>
              <w:t>岗位人员是否清楚应管控的风险及相关控制措施</w:t>
            </w:r>
            <w:r>
              <w:rPr>
                <w:rFonts w:ascii="仿宋" w:hAnsi="仿宋" w:cs="仿宋" w:hint="eastAsia"/>
                <w:color w:val="000000" w:themeColor="text1"/>
                <w:spacing w:val="11"/>
                <w:sz w:val="18"/>
                <w:szCs w:val="18"/>
              </w:rPr>
              <w:t>。</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1144"/>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7</w:t>
            </w:r>
          </w:p>
        </w:tc>
        <w:tc>
          <w:tcPr>
            <w:tcW w:w="600" w:type="dxa"/>
            <w:vMerge/>
            <w:vAlign w:val="center"/>
          </w:tcPr>
          <w:p w:rsidR="004C2863" w:rsidRDefault="004C2863">
            <w:pPr>
              <w:spacing w:line="180" w:lineRule="exact"/>
              <w:rPr>
                <w:rFonts w:ascii="仿宋" w:hAnsi="仿宋" w:cs="仿宋"/>
                <w:color w:val="000000" w:themeColor="text1"/>
                <w:sz w:val="18"/>
                <w:szCs w:val="18"/>
              </w:rPr>
            </w:pP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风险管控清单</w:t>
            </w:r>
          </w:p>
        </w:tc>
        <w:tc>
          <w:tcPr>
            <w:tcW w:w="4167" w:type="dxa"/>
            <w:vAlign w:val="center"/>
          </w:tcPr>
          <w:p w:rsidR="004C2863" w:rsidRDefault="00510AEA">
            <w:pPr>
              <w:pStyle w:val="TableParagraph"/>
              <w:numPr>
                <w:ilvl w:val="255"/>
                <w:numId w:val="0"/>
              </w:numPr>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矿长、分管负责人、副总工程师以及技术管理部门、区队的安全风险管控清单</w:t>
            </w:r>
            <w:r>
              <w:rPr>
                <w:rFonts w:ascii="仿宋" w:hAnsi="仿宋" w:cs="仿宋" w:hint="eastAsia"/>
                <w:color w:val="000000" w:themeColor="text1"/>
                <w:spacing w:val="11"/>
                <w:sz w:val="18"/>
                <w:szCs w:val="18"/>
              </w:rPr>
              <w:t>；</w:t>
            </w:r>
          </w:p>
          <w:p w:rsidR="004C2863" w:rsidRDefault="00510AEA">
            <w:pPr>
              <w:pStyle w:val="TableParagraph"/>
              <w:numPr>
                <w:ilvl w:val="255"/>
                <w:numId w:val="0"/>
              </w:numPr>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安全风险管控清单及时更新</w:t>
            </w:r>
            <w:r>
              <w:rPr>
                <w:rFonts w:ascii="仿宋" w:hAnsi="仿宋" w:cs="仿宋" w:hint="eastAsia"/>
                <w:color w:val="000000" w:themeColor="text1"/>
                <w:spacing w:val="11"/>
                <w:sz w:val="18"/>
                <w:szCs w:val="18"/>
              </w:rPr>
              <w:t>情况</w:t>
            </w:r>
            <w:r>
              <w:rPr>
                <w:rFonts w:ascii="仿宋" w:hAnsi="仿宋" w:cs="仿宋" w:hint="eastAsia"/>
                <w:color w:val="000000" w:themeColor="text1"/>
                <w:spacing w:val="11"/>
                <w:sz w:val="18"/>
                <w:szCs w:val="18"/>
              </w:rPr>
              <w:t>。</w:t>
            </w:r>
          </w:p>
        </w:tc>
        <w:tc>
          <w:tcPr>
            <w:tcW w:w="3663" w:type="dxa"/>
            <w:vAlign w:val="center"/>
          </w:tcPr>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矿长、分管负责人、总工程师</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技术管理部门、区队安全风险管控清单</w:t>
            </w:r>
            <w:r>
              <w:rPr>
                <w:rFonts w:ascii="仿宋" w:hAnsi="仿宋" w:cs="仿宋" w:hint="eastAsia"/>
                <w:color w:val="000000" w:themeColor="text1"/>
                <w:spacing w:val="11"/>
                <w:sz w:val="18"/>
                <w:szCs w:val="18"/>
              </w:rPr>
              <w:t>包括：</w:t>
            </w:r>
            <w:r>
              <w:rPr>
                <w:rFonts w:ascii="仿宋" w:hAnsi="仿宋" w:cs="仿宋" w:hint="eastAsia"/>
                <w:color w:val="000000" w:themeColor="text1"/>
                <w:spacing w:val="11"/>
                <w:sz w:val="18"/>
                <w:szCs w:val="18"/>
              </w:rPr>
              <w:t>风险点、辨识对象、检查项目、风险类型、风险描述、风险等级、管控措施、管控时限及责任岗位。</w:t>
            </w:r>
          </w:p>
        </w:tc>
        <w:tc>
          <w:tcPr>
            <w:tcW w:w="2711" w:type="dxa"/>
            <w:vAlign w:val="center"/>
          </w:tcPr>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查</w:t>
            </w:r>
            <w:r>
              <w:rPr>
                <w:rFonts w:ascii="仿宋" w:hAnsi="仿宋" w:cs="仿宋" w:hint="eastAsia"/>
                <w:color w:val="000000" w:themeColor="text1"/>
                <w:spacing w:val="11"/>
                <w:sz w:val="18"/>
                <w:szCs w:val="18"/>
              </w:rPr>
              <w:t>矿井</w:t>
            </w:r>
            <w:r>
              <w:rPr>
                <w:rFonts w:ascii="仿宋" w:hAnsi="仿宋" w:cs="仿宋" w:hint="eastAsia"/>
                <w:color w:val="000000" w:themeColor="text1"/>
                <w:spacing w:val="11"/>
                <w:sz w:val="18"/>
                <w:szCs w:val="18"/>
              </w:rPr>
              <w:t>各部门（主要负责人）安全风险管控清单。</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1025"/>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8</w:t>
            </w:r>
          </w:p>
        </w:tc>
        <w:tc>
          <w:tcPr>
            <w:tcW w:w="600" w:type="dxa"/>
            <w:vMerge/>
            <w:vAlign w:val="center"/>
          </w:tcPr>
          <w:p w:rsidR="004C2863" w:rsidRDefault="004C2863">
            <w:pPr>
              <w:spacing w:line="180" w:lineRule="exact"/>
              <w:rPr>
                <w:rFonts w:ascii="仿宋" w:hAnsi="仿宋" w:cs="仿宋"/>
                <w:color w:val="000000" w:themeColor="text1"/>
                <w:sz w:val="18"/>
                <w:szCs w:val="18"/>
              </w:rPr>
            </w:pP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安全风险分级管控考核</w:t>
            </w:r>
          </w:p>
        </w:tc>
        <w:tc>
          <w:tcPr>
            <w:tcW w:w="4167" w:type="dxa"/>
            <w:vAlign w:val="center"/>
          </w:tcPr>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对安全风险管控工作开展</w:t>
            </w:r>
            <w:r>
              <w:rPr>
                <w:rFonts w:ascii="仿宋" w:hAnsi="仿宋" w:cs="仿宋" w:hint="eastAsia"/>
                <w:color w:val="000000" w:themeColor="text1"/>
                <w:spacing w:val="11"/>
                <w:sz w:val="18"/>
                <w:szCs w:val="18"/>
              </w:rPr>
              <w:t>及</w:t>
            </w:r>
            <w:r>
              <w:rPr>
                <w:rFonts w:ascii="仿宋" w:hAnsi="仿宋" w:cs="仿宋" w:hint="eastAsia"/>
                <w:color w:val="000000" w:themeColor="text1"/>
                <w:spacing w:val="11"/>
                <w:sz w:val="18"/>
                <w:szCs w:val="18"/>
              </w:rPr>
              <w:t>管控效果进行考核，结果纳入月度绩效考核</w:t>
            </w:r>
            <w:r>
              <w:rPr>
                <w:rFonts w:ascii="仿宋" w:hAnsi="仿宋" w:cs="仿宋" w:hint="eastAsia"/>
                <w:color w:val="000000" w:themeColor="text1"/>
                <w:spacing w:val="11"/>
                <w:sz w:val="18"/>
                <w:szCs w:val="18"/>
              </w:rPr>
              <w:t>情况</w:t>
            </w:r>
            <w:r>
              <w:rPr>
                <w:rFonts w:ascii="仿宋" w:hAnsi="仿宋" w:cs="仿宋" w:hint="eastAsia"/>
                <w:color w:val="000000" w:themeColor="text1"/>
                <w:spacing w:val="11"/>
                <w:sz w:val="18"/>
                <w:szCs w:val="18"/>
              </w:rPr>
              <w:t>。</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考核规定具体，明确考核奖惩的责任单位、考核标准、考核周期，考核结果纳入月度绩效考核</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根据考核结果落实奖惩</w:t>
            </w:r>
            <w:r>
              <w:rPr>
                <w:rFonts w:ascii="仿宋" w:hAnsi="仿宋" w:cs="仿宋" w:hint="eastAsia"/>
                <w:color w:val="000000" w:themeColor="text1"/>
                <w:spacing w:val="11"/>
                <w:sz w:val="18"/>
                <w:szCs w:val="18"/>
              </w:rPr>
              <w:t>。</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查矿</w:t>
            </w:r>
            <w:r>
              <w:rPr>
                <w:rFonts w:ascii="仿宋" w:hAnsi="仿宋" w:cs="仿宋" w:hint="eastAsia"/>
                <w:color w:val="000000" w:themeColor="text1"/>
                <w:spacing w:val="11"/>
                <w:sz w:val="18"/>
                <w:szCs w:val="18"/>
              </w:rPr>
              <w:t>井</w:t>
            </w:r>
            <w:r>
              <w:rPr>
                <w:rFonts w:ascii="仿宋" w:hAnsi="仿宋" w:cs="仿宋" w:hint="eastAsia"/>
                <w:color w:val="000000" w:themeColor="text1"/>
                <w:spacing w:val="11"/>
                <w:sz w:val="18"/>
                <w:szCs w:val="18"/>
              </w:rPr>
              <w:t>系统风险管控考核记录</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查阅“双</w:t>
            </w:r>
            <w:r>
              <w:rPr>
                <w:rFonts w:ascii="仿宋" w:hAnsi="仿宋" w:cs="仿宋" w:hint="eastAsia"/>
                <w:color w:val="000000" w:themeColor="text1"/>
                <w:spacing w:val="11"/>
                <w:sz w:val="18"/>
                <w:szCs w:val="18"/>
              </w:rPr>
              <w:t>控”</w:t>
            </w:r>
            <w:r>
              <w:rPr>
                <w:rFonts w:ascii="仿宋" w:hAnsi="仿宋" w:cs="仿宋" w:hint="eastAsia"/>
                <w:color w:val="000000" w:themeColor="text1"/>
                <w:spacing w:val="11"/>
                <w:sz w:val="18"/>
                <w:szCs w:val="18"/>
              </w:rPr>
              <w:t>考核奖惩记录相关财务、工资记录。</w:t>
            </w:r>
          </w:p>
        </w:tc>
        <w:tc>
          <w:tcPr>
            <w:tcW w:w="1185" w:type="dxa"/>
            <w:vAlign w:val="center"/>
          </w:tcPr>
          <w:p w:rsidR="004C2863" w:rsidRDefault="004C2863">
            <w:pPr>
              <w:spacing w:line="180" w:lineRule="exact"/>
              <w:rPr>
                <w:rFonts w:ascii="仿宋" w:hAnsi="仿宋" w:cs="仿宋"/>
                <w:color w:val="000000" w:themeColor="text1"/>
                <w:sz w:val="18"/>
                <w:szCs w:val="18"/>
              </w:rPr>
            </w:pP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950"/>
        </w:trPr>
        <w:tc>
          <w:tcPr>
            <w:tcW w:w="450" w:type="dxa"/>
            <w:vAlign w:val="center"/>
          </w:tcPr>
          <w:p w:rsidR="004C2863" w:rsidRDefault="00510AEA">
            <w:pPr>
              <w:spacing w:line="180" w:lineRule="exact"/>
              <w:jc w:val="center"/>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lastRenderedPageBreak/>
              <w:t>9</w:t>
            </w:r>
          </w:p>
        </w:tc>
        <w:tc>
          <w:tcPr>
            <w:tcW w:w="600" w:type="dxa"/>
            <w:vMerge w:val="restart"/>
            <w:vAlign w:val="center"/>
          </w:tcPr>
          <w:p w:rsidR="004C2863" w:rsidRDefault="00510AEA">
            <w:pPr>
              <w:spacing w:line="180" w:lineRule="exact"/>
              <w:rPr>
                <w:rFonts w:ascii="仿宋" w:hAnsi="仿宋" w:cs="仿宋"/>
                <w:color w:val="000000" w:themeColor="text1"/>
                <w:sz w:val="18"/>
                <w:szCs w:val="18"/>
              </w:rPr>
            </w:pPr>
            <w:r>
              <w:rPr>
                <w:rFonts w:ascii="仿宋" w:hAnsi="仿宋" w:cs="仿宋"/>
                <w:color w:val="000000" w:themeColor="text1"/>
                <w:sz w:val="18"/>
                <w:szCs w:val="18"/>
              </w:rPr>
              <w:t>隐患排查治理</w:t>
            </w: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隐患台账</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矿井隐患排查治理台账；</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问题隐患分级情况。</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重大隐患判定正确</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隐患</w:t>
            </w:r>
            <w:r>
              <w:rPr>
                <w:rFonts w:ascii="仿宋" w:hAnsi="仿宋" w:cs="仿宋" w:hint="eastAsia"/>
                <w:color w:val="000000" w:themeColor="text1"/>
                <w:spacing w:val="11"/>
                <w:sz w:val="18"/>
                <w:szCs w:val="18"/>
              </w:rPr>
              <w:t>排查治理台账完善，能反映问题隐患整改全部过程及责任落实情况；</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隐患</w:t>
            </w:r>
            <w:r>
              <w:rPr>
                <w:rFonts w:ascii="仿宋" w:hAnsi="仿宋" w:cs="仿宋" w:hint="eastAsia"/>
                <w:color w:val="000000" w:themeColor="text1"/>
                <w:spacing w:val="11"/>
                <w:sz w:val="18"/>
                <w:szCs w:val="18"/>
              </w:rPr>
              <w:t>整改</w:t>
            </w:r>
            <w:r>
              <w:rPr>
                <w:rFonts w:ascii="仿宋" w:hAnsi="仿宋" w:cs="仿宋" w:hint="eastAsia"/>
                <w:color w:val="000000" w:themeColor="text1"/>
                <w:spacing w:val="11"/>
                <w:sz w:val="18"/>
                <w:szCs w:val="18"/>
              </w:rPr>
              <w:t>及时录入矿</w:t>
            </w:r>
            <w:r>
              <w:rPr>
                <w:rFonts w:ascii="仿宋" w:hAnsi="仿宋" w:cs="仿宋" w:hint="eastAsia"/>
                <w:color w:val="000000" w:themeColor="text1"/>
                <w:spacing w:val="11"/>
                <w:sz w:val="18"/>
                <w:szCs w:val="18"/>
              </w:rPr>
              <w:t>井</w:t>
            </w:r>
            <w:r>
              <w:rPr>
                <w:rFonts w:ascii="仿宋" w:hAnsi="仿宋" w:cs="仿宋" w:hint="eastAsia"/>
                <w:color w:val="000000" w:themeColor="text1"/>
                <w:spacing w:val="11"/>
                <w:sz w:val="18"/>
                <w:szCs w:val="18"/>
              </w:rPr>
              <w:t>系统</w:t>
            </w:r>
            <w:r>
              <w:rPr>
                <w:rFonts w:ascii="仿宋" w:hAnsi="仿宋" w:cs="仿宋" w:hint="eastAsia"/>
                <w:color w:val="000000" w:themeColor="text1"/>
                <w:spacing w:val="11"/>
                <w:sz w:val="18"/>
                <w:szCs w:val="18"/>
              </w:rPr>
              <w:t>。</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查</w:t>
            </w:r>
            <w:r>
              <w:rPr>
                <w:rFonts w:ascii="仿宋" w:hAnsi="仿宋" w:cs="仿宋" w:hint="eastAsia"/>
                <w:color w:val="000000" w:themeColor="text1"/>
                <w:spacing w:val="11"/>
                <w:sz w:val="18"/>
                <w:szCs w:val="18"/>
              </w:rPr>
              <w:t>矿井隐患排查治理</w:t>
            </w:r>
            <w:r>
              <w:rPr>
                <w:rFonts w:ascii="仿宋" w:hAnsi="仿宋" w:cs="仿宋" w:hint="eastAsia"/>
                <w:color w:val="000000" w:themeColor="text1"/>
                <w:spacing w:val="11"/>
                <w:sz w:val="18"/>
                <w:szCs w:val="18"/>
              </w:rPr>
              <w:t>台账</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查</w:t>
            </w:r>
            <w:r>
              <w:rPr>
                <w:rFonts w:ascii="仿宋" w:hAnsi="仿宋" w:cs="仿宋" w:hint="eastAsia"/>
                <w:color w:val="000000" w:themeColor="text1"/>
                <w:spacing w:val="11"/>
                <w:sz w:val="18"/>
                <w:szCs w:val="18"/>
              </w:rPr>
              <w:t>矿井</w:t>
            </w:r>
            <w:r>
              <w:rPr>
                <w:rFonts w:ascii="仿宋" w:hAnsi="仿宋" w:cs="仿宋" w:hint="eastAsia"/>
                <w:color w:val="000000" w:themeColor="text1"/>
                <w:spacing w:val="11"/>
                <w:sz w:val="18"/>
                <w:szCs w:val="18"/>
              </w:rPr>
              <w:t>隐患数据与现场实际隐患是否一致</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1715"/>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10</w:t>
            </w:r>
          </w:p>
        </w:tc>
        <w:tc>
          <w:tcPr>
            <w:tcW w:w="600" w:type="dxa"/>
            <w:vMerge/>
            <w:vAlign w:val="center"/>
          </w:tcPr>
          <w:p w:rsidR="004C2863" w:rsidRDefault="004C2863">
            <w:pPr>
              <w:spacing w:line="180" w:lineRule="exact"/>
              <w:rPr>
                <w:rFonts w:ascii="仿宋" w:hAnsi="仿宋" w:cs="仿宋"/>
                <w:color w:val="000000" w:themeColor="text1"/>
                <w:sz w:val="18"/>
                <w:szCs w:val="18"/>
              </w:rPr>
            </w:pP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隐患排查</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定期对安全风险管控措施落实情况、管控效果及事故隐患进行排查</w:t>
            </w:r>
            <w:r>
              <w:rPr>
                <w:rFonts w:ascii="仿宋" w:hAnsi="仿宋" w:cs="仿宋" w:hint="eastAsia"/>
                <w:color w:val="000000" w:themeColor="text1"/>
                <w:spacing w:val="11"/>
                <w:sz w:val="18"/>
                <w:szCs w:val="18"/>
              </w:rPr>
              <w:t>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矿长、分管负责人、区队、班组、矿领导带班按照每月、每半月、每天、每班排查要求进行</w:t>
            </w:r>
            <w:r>
              <w:rPr>
                <w:rFonts w:ascii="仿宋" w:hAnsi="仿宋" w:cs="仿宋" w:hint="eastAsia"/>
                <w:color w:val="000000" w:themeColor="text1"/>
                <w:spacing w:val="11"/>
                <w:sz w:val="18"/>
                <w:szCs w:val="18"/>
              </w:rPr>
              <w:t>隐患排查情况</w:t>
            </w:r>
            <w:r>
              <w:rPr>
                <w:rFonts w:ascii="仿宋" w:hAnsi="仿宋" w:cs="仿宋" w:hint="eastAsia"/>
                <w:color w:val="000000" w:themeColor="text1"/>
                <w:spacing w:val="11"/>
                <w:sz w:val="18"/>
                <w:szCs w:val="18"/>
              </w:rPr>
              <w:t>。</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矿长、分管负责人、区队、班组、矿领导带班按要求进行</w:t>
            </w:r>
            <w:r>
              <w:rPr>
                <w:rFonts w:ascii="仿宋" w:hAnsi="仿宋" w:cs="仿宋" w:hint="eastAsia"/>
                <w:color w:val="000000" w:themeColor="text1"/>
                <w:spacing w:val="11"/>
                <w:sz w:val="18"/>
                <w:szCs w:val="18"/>
              </w:rPr>
              <w:t>隐患排查的相关记录、台账；</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班组和岗位作业人员掌握岗位安全风险告知卡内容的</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矿领导带班下井</w:t>
            </w:r>
            <w:r>
              <w:rPr>
                <w:rFonts w:ascii="仿宋" w:hAnsi="仿宋" w:cs="仿宋" w:hint="eastAsia"/>
                <w:color w:val="000000" w:themeColor="text1"/>
                <w:spacing w:val="11"/>
                <w:sz w:val="18"/>
                <w:szCs w:val="18"/>
              </w:rPr>
              <w:t>落实重大风险管控措施情况、带班查隐患情况</w:t>
            </w:r>
            <w:r>
              <w:rPr>
                <w:rFonts w:ascii="仿宋" w:hAnsi="仿宋" w:cs="仿宋" w:hint="eastAsia"/>
                <w:color w:val="000000" w:themeColor="text1"/>
                <w:spacing w:val="11"/>
                <w:sz w:val="18"/>
                <w:szCs w:val="18"/>
              </w:rPr>
              <w:t>。</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查矿</w:t>
            </w:r>
            <w:r>
              <w:rPr>
                <w:rFonts w:ascii="仿宋" w:hAnsi="仿宋" w:cs="仿宋" w:hint="eastAsia"/>
                <w:color w:val="000000" w:themeColor="text1"/>
                <w:spacing w:val="11"/>
                <w:sz w:val="18"/>
                <w:szCs w:val="18"/>
              </w:rPr>
              <w:t>井</w:t>
            </w:r>
            <w:r>
              <w:rPr>
                <w:rFonts w:ascii="仿宋" w:hAnsi="仿宋" w:cs="仿宋" w:hint="eastAsia"/>
                <w:color w:val="000000" w:themeColor="text1"/>
                <w:spacing w:val="11"/>
                <w:sz w:val="18"/>
                <w:szCs w:val="18"/>
              </w:rPr>
              <w:t>隐患台账</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查风险管控检查记录</w:t>
            </w:r>
            <w:r>
              <w:rPr>
                <w:rFonts w:ascii="仿宋" w:hAnsi="仿宋" w:cs="仿宋" w:hint="eastAsia"/>
                <w:color w:val="000000" w:themeColor="text1"/>
                <w:spacing w:val="11"/>
                <w:sz w:val="18"/>
                <w:szCs w:val="18"/>
              </w:rPr>
              <w:t>；</w:t>
            </w:r>
            <w:r>
              <w:rPr>
                <w:rFonts w:ascii="仿宋" w:hAnsi="仿宋" w:cs="仿宋" w:hint="eastAsia"/>
                <w:color w:val="000000" w:themeColor="text1"/>
                <w:spacing w:val="11"/>
                <w:sz w:val="18"/>
                <w:szCs w:val="18"/>
              </w:rPr>
              <w:t>企业主要、分管、部门负责人</w:t>
            </w:r>
            <w:r>
              <w:rPr>
                <w:rFonts w:ascii="仿宋" w:hAnsi="仿宋" w:cs="仿宋" w:hint="eastAsia"/>
                <w:color w:val="000000" w:themeColor="text1"/>
                <w:spacing w:val="11"/>
                <w:sz w:val="18"/>
                <w:szCs w:val="18"/>
              </w:rPr>
              <w:t>及</w:t>
            </w:r>
            <w:r>
              <w:rPr>
                <w:rFonts w:ascii="仿宋" w:hAnsi="仿宋" w:cs="仿宋" w:hint="eastAsia"/>
                <w:color w:val="000000" w:themeColor="text1"/>
                <w:spacing w:val="11"/>
                <w:sz w:val="18"/>
                <w:szCs w:val="18"/>
              </w:rPr>
              <w:t>岗位员工对本岗位排查隐患职责</w:t>
            </w:r>
            <w:r>
              <w:rPr>
                <w:rFonts w:ascii="仿宋" w:hAnsi="仿宋" w:cs="仿宋" w:hint="eastAsia"/>
                <w:color w:val="000000" w:themeColor="text1"/>
                <w:spacing w:val="11"/>
                <w:sz w:val="18"/>
                <w:szCs w:val="18"/>
              </w:rPr>
              <w:t>掌握情况</w:t>
            </w:r>
            <w:r>
              <w:rPr>
                <w:rFonts w:ascii="仿宋" w:hAnsi="仿宋" w:cs="仿宋" w:hint="eastAsia"/>
                <w:color w:val="000000" w:themeColor="text1"/>
                <w:spacing w:val="11"/>
                <w:sz w:val="18"/>
                <w:szCs w:val="18"/>
              </w:rPr>
              <w:t>。</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2065"/>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11</w:t>
            </w:r>
          </w:p>
        </w:tc>
        <w:tc>
          <w:tcPr>
            <w:tcW w:w="600" w:type="dxa"/>
            <w:vMerge/>
            <w:vAlign w:val="center"/>
          </w:tcPr>
          <w:p w:rsidR="004C2863" w:rsidRDefault="004C2863">
            <w:pPr>
              <w:spacing w:line="180" w:lineRule="exact"/>
              <w:rPr>
                <w:rFonts w:ascii="仿宋" w:hAnsi="仿宋" w:cs="仿宋"/>
                <w:color w:val="000000" w:themeColor="text1"/>
                <w:sz w:val="18"/>
                <w:szCs w:val="18"/>
              </w:rPr>
            </w:pP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隐患治理</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煤矿隐患按照等级实行分级治理情况；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重大隐患及时上报、治理情况；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重大事故隐患信息档案；</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根据隐患的等级和隐患源采取相应的验收销号流程以及隐患督办流程；</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5.</w:t>
            </w:r>
            <w:r>
              <w:rPr>
                <w:rFonts w:ascii="仿宋" w:hAnsi="仿宋" w:cs="仿宋" w:hint="eastAsia"/>
                <w:color w:val="000000" w:themeColor="text1"/>
                <w:spacing w:val="11"/>
                <w:sz w:val="18"/>
                <w:szCs w:val="18"/>
              </w:rPr>
              <w:t>对治理过程危险性较大的事故隐患制定现场处置方案，治理过程中现场有专人指挥、安检员现场监督及设置警示标识情况。</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隐患分级治理制度，措施是否合理；</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隐患治理“五落实”是否到位；</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重大隐患是否制定专项治理方案，是否上报；</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隐患排查治理实现分级验收、销号；</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5.</w:t>
            </w:r>
            <w:r>
              <w:rPr>
                <w:rFonts w:ascii="仿宋" w:hAnsi="仿宋" w:cs="仿宋" w:hint="eastAsia"/>
                <w:color w:val="000000" w:themeColor="text1"/>
                <w:spacing w:val="11"/>
                <w:sz w:val="18"/>
                <w:szCs w:val="18"/>
              </w:rPr>
              <w:t>超期未整改隐患实行提级督办；</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6.</w:t>
            </w:r>
            <w:r>
              <w:rPr>
                <w:rFonts w:ascii="仿宋" w:hAnsi="仿宋" w:cs="仿宋" w:hint="eastAsia"/>
                <w:color w:val="000000" w:themeColor="text1"/>
                <w:spacing w:val="11"/>
                <w:sz w:val="18"/>
                <w:szCs w:val="18"/>
              </w:rPr>
              <w:t>重大隐患实行挂牌督办；</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7.</w:t>
            </w:r>
            <w:r>
              <w:rPr>
                <w:rFonts w:ascii="仿宋" w:hAnsi="仿宋" w:cs="仿宋" w:hint="eastAsia"/>
                <w:color w:val="000000" w:themeColor="text1"/>
                <w:spacing w:val="11"/>
                <w:sz w:val="18"/>
                <w:szCs w:val="18"/>
              </w:rPr>
              <w:t>对治理过程危险性较大的事故隐患制定现场处置方案及现场有专人指挥、安检员监督情况。</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查矿井隐患台账；</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查矿井重大隐患信息档案；</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抽查矿井隐患治理措施、验收销号记录、督办记录；</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查隐患治理制度。</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1022"/>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12</w:t>
            </w:r>
          </w:p>
        </w:tc>
        <w:tc>
          <w:tcPr>
            <w:tcW w:w="600" w:type="dxa"/>
            <w:vMerge/>
            <w:vAlign w:val="center"/>
          </w:tcPr>
          <w:p w:rsidR="004C2863" w:rsidRDefault="004C2863">
            <w:pPr>
              <w:spacing w:line="180" w:lineRule="exact"/>
              <w:rPr>
                <w:rFonts w:ascii="仿宋" w:hAnsi="仿宋" w:cs="仿宋"/>
                <w:color w:val="000000" w:themeColor="text1"/>
                <w:sz w:val="18"/>
                <w:szCs w:val="18"/>
              </w:rPr>
            </w:pP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隐患排查治理考核</w:t>
            </w:r>
          </w:p>
        </w:tc>
        <w:tc>
          <w:tcPr>
            <w:tcW w:w="4167" w:type="dxa"/>
            <w:vAlign w:val="center"/>
          </w:tcPr>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隐患排查和治理情况进行考核及将结果纳入月度绩效考核情况。</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考核规定具体，明确考核奖惩的责任单位、考核标准、考核周期，考核结果纳入月度绩效考核；</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根据考核结果落实奖惩情况</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查矿井隐患排查治理考核记；</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查阅“双防”考核奖惩记录相关财务、工资记录。</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2440"/>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13</w:t>
            </w:r>
          </w:p>
        </w:tc>
        <w:tc>
          <w:tcPr>
            <w:tcW w:w="600" w:type="dxa"/>
            <w:vMerge/>
            <w:vAlign w:val="center"/>
          </w:tcPr>
          <w:p w:rsidR="004C2863" w:rsidRDefault="004C2863">
            <w:pPr>
              <w:spacing w:line="180" w:lineRule="exact"/>
              <w:rPr>
                <w:rFonts w:ascii="仿宋" w:hAnsi="仿宋" w:cs="仿宋"/>
                <w:color w:val="000000" w:themeColor="text1"/>
                <w:sz w:val="18"/>
                <w:szCs w:val="18"/>
              </w:rPr>
            </w:pP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不安全行为管控</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不安全行为管理制度、不安全行为台账、对有不安全行为员工进行帮教的记录台账、因不安全行为停岗的人员再上岗的行为观察记录；</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行为管控主管部门对再上岗人员进行回访的回访表（包括不安全行为人领导、同事（下属）不少于</w:t>
            </w: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人签署的再上岗人员的评价意见）。</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明确行为管控主管部门；</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对不安全行为进行分级分类管理；</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对不安全行为控制措施、发现、举报、帮教、考核、再上岗、回访、记录等规定明确；</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制度中体现职工现场制止不安全行为相关规则；</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5.</w:t>
            </w:r>
            <w:r>
              <w:rPr>
                <w:rFonts w:ascii="仿宋" w:hAnsi="仿宋" w:cs="仿宋" w:hint="eastAsia"/>
                <w:color w:val="000000" w:themeColor="text1"/>
                <w:spacing w:val="11"/>
                <w:sz w:val="18"/>
                <w:szCs w:val="18"/>
              </w:rPr>
              <w:t>对不安全行为的职工进行帮教记录；</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6.</w:t>
            </w:r>
            <w:r>
              <w:rPr>
                <w:rFonts w:ascii="仿宋" w:hAnsi="仿宋" w:cs="仿宋" w:hint="eastAsia"/>
                <w:color w:val="000000" w:themeColor="text1"/>
                <w:spacing w:val="11"/>
                <w:sz w:val="18"/>
                <w:szCs w:val="18"/>
              </w:rPr>
              <w:t>因不安全行停岗人员在其上岗一周内，由所在部门至少对其实施一次行为观察的记录；</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7.</w:t>
            </w:r>
            <w:r>
              <w:rPr>
                <w:rFonts w:ascii="仿宋" w:hAnsi="仿宋" w:cs="仿宋" w:hint="eastAsia"/>
                <w:color w:val="000000" w:themeColor="text1"/>
                <w:spacing w:val="11"/>
                <w:sz w:val="18"/>
                <w:szCs w:val="18"/>
              </w:rPr>
              <w:t>行为管控主管部门对再上岗人员进行回访记录及评价意见。</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查矿井不安全行为台账；</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查不安全行为管理制度；</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查不安全行为处理记录、管理台账。</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1134"/>
        </w:trPr>
        <w:tc>
          <w:tcPr>
            <w:tcW w:w="450" w:type="dxa"/>
            <w:vAlign w:val="center"/>
          </w:tcPr>
          <w:p w:rsidR="004C2863" w:rsidRDefault="00510AEA">
            <w:pPr>
              <w:spacing w:line="180" w:lineRule="exact"/>
              <w:jc w:val="center"/>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lastRenderedPageBreak/>
              <w:t>14</w:t>
            </w:r>
          </w:p>
        </w:tc>
        <w:tc>
          <w:tcPr>
            <w:tcW w:w="60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隐患排查治理</w:t>
            </w: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公示公告</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在行人井口和存在重大安全风险区域的显著位置公示存在的重大安全风险、管控责任人和主要管控措施；</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年度评估辨识的重大安全风险清单及管控措施上报情况；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井口信息公告栏、电子屏或其他显著位置，每月向从业人员通报事故隐患分布、治理进展情况；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建立事故隐患举报奖励制度，公布煤矿、办矿主体、省内各级煤矿安全监管监察部门事故隐患举报电话、信箱、电子邮箱情况。</w:t>
            </w:r>
          </w:p>
        </w:tc>
        <w:tc>
          <w:tcPr>
            <w:tcW w:w="3663" w:type="dxa"/>
            <w:vAlign w:val="center"/>
          </w:tcPr>
          <w:p w:rsidR="004C2863" w:rsidRDefault="00510AEA">
            <w:pPr>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煤矿对重大安全风险进行公告报告；</w:t>
            </w:r>
          </w:p>
          <w:p w:rsidR="004C2863" w:rsidRDefault="00510AEA">
            <w:pPr>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通报事故隐患情况；</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建立事故隐患举报奖励制度，公布煤矿、办矿主体、省内各级煤矿安全监管检查部门事故隐患举</w:t>
            </w:r>
            <w:r>
              <w:rPr>
                <w:rFonts w:ascii="仿宋" w:hAnsi="仿宋" w:cs="仿宋" w:hint="eastAsia"/>
                <w:color w:val="000000" w:themeColor="text1"/>
                <w:spacing w:val="11"/>
                <w:sz w:val="18"/>
                <w:szCs w:val="18"/>
              </w:rPr>
              <w:t>报电话、信箱、电子邮箱。</w:t>
            </w:r>
          </w:p>
        </w:tc>
        <w:tc>
          <w:tcPr>
            <w:tcW w:w="2711" w:type="dxa"/>
            <w:vAlign w:val="center"/>
          </w:tcPr>
          <w:p w:rsidR="004C2863" w:rsidRDefault="00510AEA">
            <w:pPr>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矿井重大安全风险清单和隐患台账；</w:t>
            </w:r>
          </w:p>
          <w:p w:rsidR="004C2863" w:rsidRDefault="00510AEA">
            <w:pPr>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事故隐患奖励制度文件；</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现场重大风险和重大隐患公告牌版。</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2210"/>
        </w:trPr>
        <w:tc>
          <w:tcPr>
            <w:tcW w:w="450" w:type="dxa"/>
            <w:vAlign w:val="center"/>
          </w:tcPr>
          <w:p w:rsidR="004C2863" w:rsidRDefault="00510AEA">
            <w:pPr>
              <w:pStyle w:val="TableParagraph"/>
              <w:spacing w:line="180" w:lineRule="exact"/>
              <w:jc w:val="center"/>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15</w:t>
            </w:r>
          </w:p>
        </w:tc>
        <w:tc>
          <w:tcPr>
            <w:tcW w:w="600" w:type="dxa"/>
            <w:vMerge w:val="restart"/>
            <w:vAlign w:val="center"/>
          </w:tcPr>
          <w:p w:rsidR="004C2863" w:rsidRDefault="00510AEA">
            <w:pPr>
              <w:pStyle w:val="TableParagraph"/>
              <w:spacing w:line="180" w:lineRule="exact"/>
              <w:jc w:val="center"/>
              <w:rPr>
                <w:rFonts w:ascii="仿宋" w:hAnsi="仿宋" w:cs="仿宋"/>
                <w:color w:val="000000" w:themeColor="text1"/>
                <w:spacing w:val="11"/>
                <w:sz w:val="18"/>
                <w:szCs w:val="18"/>
              </w:rPr>
            </w:pPr>
            <w:r>
              <w:rPr>
                <w:rFonts w:ascii="仿宋" w:hAnsi="仿宋" w:cs="仿宋" w:hint="eastAsia"/>
                <w:color w:val="000000" w:themeColor="text1"/>
                <w:sz w:val="18"/>
                <w:szCs w:val="18"/>
              </w:rPr>
              <w:t>信息系统建设</w:t>
            </w:r>
          </w:p>
        </w:tc>
        <w:tc>
          <w:tcPr>
            <w:tcW w:w="619"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一般要求</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安全风险记录、跟踪、管控、统计、分析、上报等全过程的信息化管理情况；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岗位作业流程标准化数据的信息化管理；</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事故隐患排查治理记录统计、过程跟踪、逾期报警、信息上报的信息化管理情况；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安全风险数据库和安全风险管控清单的更新维护功能；</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5.</w:t>
            </w:r>
            <w:r>
              <w:rPr>
                <w:rFonts w:ascii="仿宋" w:hAnsi="仿宋" w:cs="仿宋" w:hint="eastAsia"/>
                <w:color w:val="000000" w:themeColor="text1"/>
                <w:spacing w:val="11"/>
                <w:sz w:val="18"/>
                <w:szCs w:val="18"/>
              </w:rPr>
              <w:t>风险隐患一体化管理，具备对安全风险、隐患及“三违”数据从不同维度的统计分析功能；</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6.</w:t>
            </w:r>
            <w:r>
              <w:rPr>
                <w:rFonts w:ascii="仿宋" w:hAnsi="仿宋" w:cs="仿宋" w:hint="eastAsia"/>
                <w:color w:val="000000" w:themeColor="text1"/>
                <w:spacing w:val="11"/>
                <w:sz w:val="18"/>
                <w:szCs w:val="18"/>
              </w:rPr>
              <w:t>信息平台实现煤矿、上级公司、监管部门之间的数据互通互联、信息共享情况。</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系统具备对安全风险全过程记录、跟踪、管控、统计、分析、上报功能；</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系统具备岗位作业流程标准化数据管理功能；</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系统具备事故隐患排查治理记录统计、过程跟踪、逾期报警、信息上报功能；</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系统具备安全风险数据库和安全风险管控清单的更新维护功能；</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5.</w:t>
            </w:r>
            <w:r>
              <w:rPr>
                <w:rFonts w:ascii="仿宋" w:hAnsi="仿宋" w:cs="仿宋" w:hint="eastAsia"/>
                <w:color w:val="000000" w:themeColor="text1"/>
                <w:spacing w:val="11"/>
                <w:sz w:val="18"/>
                <w:szCs w:val="18"/>
              </w:rPr>
              <w:t>实现风险隐患一体化管理，具备包括对“三违”在内统计分析功能；</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6.</w:t>
            </w:r>
            <w:r>
              <w:rPr>
                <w:rFonts w:ascii="仿宋" w:hAnsi="仿宋" w:cs="仿宋" w:hint="eastAsia"/>
                <w:color w:val="000000" w:themeColor="text1"/>
                <w:spacing w:val="11"/>
                <w:sz w:val="18"/>
                <w:szCs w:val="18"/>
              </w:rPr>
              <w:t>系统预留数据接口以实现数据互通、信息共享。</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查矿井“双控”信息化系统安全风险分级管控功能；</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查矿井“双控”信息化系统隐患排查治理功能；</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查矿井“双控”系统岗位流程标准化数据；</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查矿井“双控”系统统计分析数据。</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2995"/>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16</w:t>
            </w:r>
          </w:p>
        </w:tc>
        <w:tc>
          <w:tcPr>
            <w:tcW w:w="600" w:type="dxa"/>
            <w:vMerge/>
            <w:vAlign w:val="center"/>
          </w:tcPr>
          <w:p w:rsidR="004C2863" w:rsidRDefault="004C2863">
            <w:pPr>
              <w:spacing w:line="180" w:lineRule="exact"/>
              <w:rPr>
                <w:rFonts w:ascii="仿宋" w:hAnsi="仿宋" w:cs="仿宋"/>
                <w:color w:val="000000" w:themeColor="text1"/>
                <w:sz w:val="18"/>
                <w:szCs w:val="18"/>
              </w:rPr>
            </w:pP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信息上报</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通过信息平台向煤矿安全监管监察部门报告企业的安全风险分级管控和隐患排查治理情况；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上报年度和专项辨识基本信息、评估报告、运行分析报告、重大安全风险清单及管控方案情况；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煤矿月度分析总结报告；</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信息系统录入重大隐患，直接上报情况；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5.</w:t>
            </w:r>
            <w:r>
              <w:rPr>
                <w:rFonts w:ascii="仿宋" w:hAnsi="仿宋" w:cs="仿宋" w:hint="eastAsia"/>
                <w:color w:val="000000" w:themeColor="text1"/>
                <w:spacing w:val="11"/>
                <w:sz w:val="18"/>
                <w:szCs w:val="18"/>
              </w:rPr>
              <w:t>专项辨识中所涉及的高危作业，实施前应录入相关作业信息情况；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6.</w:t>
            </w:r>
            <w:r>
              <w:rPr>
                <w:rFonts w:ascii="仿宋" w:hAnsi="仿宋" w:cs="仿宋" w:hint="eastAsia"/>
                <w:color w:val="000000" w:themeColor="text1"/>
                <w:spacing w:val="11"/>
                <w:sz w:val="18"/>
                <w:szCs w:val="18"/>
              </w:rPr>
              <w:t>煤矿各风险点辨识出的隐蔽致灾因素录入系统情况；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7.</w:t>
            </w:r>
            <w:r>
              <w:rPr>
                <w:rFonts w:ascii="仿宋" w:hAnsi="仿宋" w:cs="仿宋" w:hint="eastAsia"/>
                <w:color w:val="000000" w:themeColor="text1"/>
                <w:spacing w:val="11"/>
                <w:sz w:val="18"/>
                <w:szCs w:val="18"/>
              </w:rPr>
              <w:t>根据各级相关部门要求的其他安全数据信息录入情况；</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8.</w:t>
            </w:r>
            <w:r>
              <w:rPr>
                <w:rFonts w:ascii="仿宋" w:hAnsi="仿宋" w:cs="仿宋" w:hint="eastAsia"/>
                <w:color w:val="000000" w:themeColor="text1"/>
                <w:spacing w:val="11"/>
                <w:sz w:val="18"/>
                <w:szCs w:val="18"/>
              </w:rPr>
              <w:t>每个月前</w:t>
            </w:r>
            <w:r>
              <w:rPr>
                <w:rFonts w:ascii="仿宋" w:hAnsi="仿宋" w:cs="仿宋" w:hint="eastAsia"/>
                <w:color w:val="000000" w:themeColor="text1"/>
                <w:spacing w:val="11"/>
                <w:sz w:val="18"/>
                <w:szCs w:val="18"/>
              </w:rPr>
              <w:t>5</w:t>
            </w:r>
            <w:r>
              <w:rPr>
                <w:rFonts w:ascii="仿宋" w:hAnsi="仿宋" w:cs="仿宋" w:hint="eastAsia"/>
                <w:color w:val="000000" w:themeColor="text1"/>
                <w:spacing w:val="11"/>
                <w:sz w:val="18"/>
                <w:szCs w:val="18"/>
              </w:rPr>
              <w:t>个工作日内，通过矿井系统上传重大安全风险预判防控报告情况。</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年度和专项辨识完成后，</w:t>
            </w:r>
            <w:r>
              <w:rPr>
                <w:rFonts w:ascii="仿宋" w:hAnsi="仿宋" w:cs="仿宋" w:hint="eastAsia"/>
                <w:color w:val="000000" w:themeColor="text1"/>
                <w:spacing w:val="11"/>
                <w:sz w:val="18"/>
                <w:szCs w:val="18"/>
              </w:rPr>
              <w:t>10</w:t>
            </w:r>
            <w:r>
              <w:rPr>
                <w:rFonts w:ascii="仿宋" w:hAnsi="仿宋" w:cs="仿宋" w:hint="eastAsia"/>
                <w:color w:val="000000" w:themeColor="text1"/>
                <w:spacing w:val="11"/>
                <w:sz w:val="18"/>
                <w:szCs w:val="18"/>
              </w:rPr>
              <w:t>个工作日内上报辨识基本信息，包括：辨识名称、组织人、参与部门、参与人员、辨识时间、风险点数量、安全风险数量、重大风险数量等；</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年度和专项辨识完成后，上报相应的安全风险辨识评估报告，每年年底前上</w:t>
            </w:r>
            <w:r>
              <w:rPr>
                <w:rFonts w:ascii="仿宋" w:hAnsi="仿宋" w:cs="仿宋" w:hint="eastAsia"/>
                <w:color w:val="000000" w:themeColor="text1"/>
                <w:spacing w:val="11"/>
                <w:sz w:val="18"/>
                <w:szCs w:val="18"/>
              </w:rPr>
              <w:t>报本年度的运行分析报告；</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年度和专项辨识完成后，上报、更新重大安全风险清单及管控方案；</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每月上报煤矿月度分析总结报告；</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5.</w:t>
            </w:r>
            <w:r>
              <w:rPr>
                <w:rFonts w:ascii="仿宋" w:hAnsi="仿宋" w:cs="仿宋" w:hint="eastAsia"/>
                <w:color w:val="000000" w:themeColor="text1"/>
                <w:spacing w:val="11"/>
                <w:sz w:val="18"/>
                <w:szCs w:val="18"/>
              </w:rPr>
              <w:t>系统中有专项辨识中所涉及的高危作业，实施前应录入的相关作业信息；</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6.</w:t>
            </w:r>
            <w:r>
              <w:rPr>
                <w:rFonts w:ascii="仿宋" w:hAnsi="仿宋" w:cs="仿宋" w:hint="eastAsia"/>
                <w:color w:val="000000" w:themeColor="text1"/>
                <w:spacing w:val="11"/>
                <w:sz w:val="18"/>
                <w:szCs w:val="18"/>
              </w:rPr>
              <w:t>每月按时上传重大安全风险预判防控报告；</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7.</w:t>
            </w:r>
            <w:r>
              <w:rPr>
                <w:rFonts w:ascii="仿宋" w:hAnsi="仿宋" w:cs="仿宋" w:hint="eastAsia"/>
                <w:color w:val="000000" w:themeColor="text1"/>
                <w:spacing w:val="11"/>
                <w:sz w:val="18"/>
                <w:szCs w:val="18"/>
              </w:rPr>
              <w:t>根据各级相关部门要求的其他安全数据信息</w:t>
            </w:r>
            <w:r>
              <w:rPr>
                <w:rFonts w:ascii="仿宋" w:hAnsi="仿宋" w:cs="仿宋" w:hint="eastAsia"/>
                <w:color w:val="000000" w:themeColor="text1"/>
                <w:sz w:val="18"/>
                <w:szCs w:val="18"/>
              </w:rPr>
              <w:t>。</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查矿井“双控”信息化系统数据上报记录；</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查重大安全风险预判防控报告。</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786"/>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17</w:t>
            </w:r>
          </w:p>
        </w:tc>
        <w:tc>
          <w:tcPr>
            <w:tcW w:w="600" w:type="dxa"/>
            <w:vMerge/>
            <w:vAlign w:val="center"/>
          </w:tcPr>
          <w:p w:rsidR="004C2863" w:rsidRDefault="004C2863">
            <w:pPr>
              <w:spacing w:line="180" w:lineRule="exact"/>
              <w:rPr>
                <w:rFonts w:ascii="仿宋" w:hAnsi="仿宋" w:cs="仿宋"/>
                <w:color w:val="000000" w:themeColor="text1"/>
                <w:sz w:val="18"/>
                <w:szCs w:val="18"/>
              </w:rPr>
            </w:pP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信息平台使用考核</w:t>
            </w:r>
          </w:p>
        </w:tc>
        <w:tc>
          <w:tcPr>
            <w:tcW w:w="4167" w:type="dxa"/>
            <w:vAlign w:val="center"/>
          </w:tcPr>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信息平台的使用纳入考核情况。</w:t>
            </w:r>
          </w:p>
        </w:tc>
        <w:tc>
          <w:tcPr>
            <w:tcW w:w="3663" w:type="dxa"/>
            <w:vAlign w:val="center"/>
          </w:tcPr>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将信息平台的使用要求纳入相应考核制度及考核记录、台账。</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查矿井信息平台系统使用考核录；</w:t>
            </w:r>
          </w:p>
          <w:p w:rsidR="004C2863" w:rsidRDefault="00510AEA">
            <w:pPr>
              <w:pStyle w:val="TableParagraph"/>
              <w:spacing w:line="180" w:lineRule="exact"/>
              <w:rPr>
                <w:rFonts w:ascii="仿宋" w:hAnsi="仿宋" w:cs="仿宋"/>
                <w:color w:val="000000" w:themeColor="text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查阅“双控”考核奖惩记录、相关财务、工资记录。</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791"/>
        </w:trPr>
        <w:tc>
          <w:tcPr>
            <w:tcW w:w="450" w:type="dxa"/>
            <w:vMerge w:val="restart"/>
            <w:vAlign w:val="center"/>
          </w:tcPr>
          <w:p w:rsidR="004C2863" w:rsidRDefault="00510AEA">
            <w:pPr>
              <w:spacing w:line="180" w:lineRule="exact"/>
              <w:jc w:val="center"/>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lastRenderedPageBreak/>
              <w:t>18</w:t>
            </w:r>
          </w:p>
        </w:tc>
        <w:tc>
          <w:tcPr>
            <w:tcW w:w="600" w:type="dxa"/>
            <w:vMerge w:val="restart"/>
            <w:vAlign w:val="center"/>
          </w:tcPr>
          <w:p w:rsidR="004C2863" w:rsidRDefault="00510AEA">
            <w:pPr>
              <w:spacing w:line="180" w:lineRule="exact"/>
              <w:rPr>
                <w:rFonts w:ascii="仿宋" w:hAnsi="仿宋" w:cs="仿宋"/>
                <w:color w:val="000000" w:themeColor="text1"/>
                <w:spacing w:val="11"/>
                <w:sz w:val="18"/>
                <w:szCs w:val="18"/>
              </w:rPr>
            </w:pPr>
            <w:r>
              <w:rPr>
                <w:rFonts w:ascii="仿宋" w:hAnsi="仿宋" w:cs="仿宋" w:hint="eastAsia"/>
                <w:color w:val="000000" w:themeColor="text1"/>
                <w:sz w:val="18"/>
                <w:szCs w:val="18"/>
              </w:rPr>
              <w:t>公开安全承诺</w:t>
            </w:r>
          </w:p>
        </w:tc>
        <w:tc>
          <w:tcPr>
            <w:tcW w:w="619" w:type="dxa"/>
            <w:vMerge w:val="restart"/>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公开安全承诺</w:t>
            </w:r>
          </w:p>
        </w:tc>
        <w:tc>
          <w:tcPr>
            <w:tcW w:w="4167" w:type="dxa"/>
            <w:vMerge w:val="restart"/>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建立安全承诺制度</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企业主要负责人每年向全体员工、日常监管部门和社会作出安全承诺</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各层级全员安全承诺</w:t>
            </w:r>
            <w:r>
              <w:rPr>
                <w:rFonts w:ascii="仿宋" w:hAnsi="仿宋" w:cs="仿宋" w:hint="eastAsia"/>
                <w:color w:val="000000" w:themeColor="text1"/>
                <w:spacing w:val="11"/>
                <w:sz w:val="18"/>
                <w:szCs w:val="18"/>
              </w:rPr>
              <w:t>；</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企业主要负责人承诺进行公示。</w:t>
            </w:r>
          </w:p>
        </w:tc>
        <w:tc>
          <w:tcPr>
            <w:tcW w:w="3663" w:type="dxa"/>
            <w:vAlign w:val="center"/>
          </w:tcPr>
          <w:p w:rsidR="004C2863" w:rsidRDefault="00510AEA">
            <w:pPr>
              <w:pStyle w:val="ad"/>
              <w:spacing w:line="180" w:lineRule="exact"/>
              <w:ind w:firstLineChars="0" w:firstLine="0"/>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建立承诺制度；</w:t>
            </w:r>
          </w:p>
          <w:p w:rsidR="004C2863" w:rsidRDefault="00510AEA">
            <w:pPr>
              <w:pStyle w:val="ad"/>
              <w:spacing w:line="180" w:lineRule="exact"/>
              <w:ind w:firstLineChars="0" w:firstLine="0"/>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企业主要负责人、全部从业人员承诺内容符合相关要求；</w:t>
            </w:r>
          </w:p>
          <w:p w:rsidR="004C2863" w:rsidRDefault="00510AEA">
            <w:pPr>
              <w:pStyle w:val="ad"/>
              <w:spacing w:line="180" w:lineRule="exact"/>
              <w:ind w:firstLineChars="0" w:firstLine="0"/>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落实安全生产责任险规定</w:t>
            </w:r>
            <w:r>
              <w:rPr>
                <w:rFonts w:ascii="仿宋" w:hAnsi="仿宋" w:cs="仿宋" w:hint="eastAsia"/>
                <w:color w:val="000000" w:themeColor="text1"/>
                <w:spacing w:val="11"/>
                <w:sz w:val="18"/>
                <w:szCs w:val="18"/>
              </w:rPr>
              <w:t>。</w:t>
            </w:r>
          </w:p>
        </w:tc>
        <w:tc>
          <w:tcPr>
            <w:tcW w:w="2711" w:type="dxa"/>
            <w:vMerge w:val="restart"/>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检查矿井承诺制度、主要负责人承诺书；</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抽查从业人员承诺书；</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井口巡查矿长安全承诺是否公示公告；</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检查安责险落实情况</w:t>
            </w:r>
            <w:r>
              <w:rPr>
                <w:rFonts w:ascii="仿宋" w:hAnsi="仿宋" w:cs="仿宋" w:hint="eastAsia"/>
                <w:color w:val="000000" w:themeColor="text1"/>
                <w:spacing w:val="11"/>
                <w:sz w:val="18"/>
                <w:szCs w:val="18"/>
              </w:rPr>
              <w:t>。</w:t>
            </w:r>
          </w:p>
        </w:tc>
        <w:tc>
          <w:tcPr>
            <w:tcW w:w="1185" w:type="dxa"/>
            <w:vMerge w:val="restart"/>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不符合情况：</w:t>
            </w:r>
          </w:p>
        </w:tc>
        <w:tc>
          <w:tcPr>
            <w:tcW w:w="612" w:type="dxa"/>
            <w:vMerge w:val="restart"/>
          </w:tcPr>
          <w:p w:rsidR="004C2863" w:rsidRDefault="004C2863">
            <w:pPr>
              <w:spacing w:line="0" w:lineRule="atLeast"/>
              <w:rPr>
                <w:rFonts w:ascii="仿宋" w:hAnsi="仿宋" w:cs="仿宋"/>
                <w:color w:val="000000" w:themeColor="text1"/>
                <w:sz w:val="18"/>
                <w:szCs w:val="18"/>
              </w:rPr>
            </w:pPr>
          </w:p>
        </w:tc>
      </w:tr>
      <w:tr w:rsidR="004C2863">
        <w:trPr>
          <w:trHeight w:val="481"/>
        </w:trPr>
        <w:tc>
          <w:tcPr>
            <w:tcW w:w="450" w:type="dxa"/>
            <w:vMerge/>
            <w:vAlign w:val="center"/>
          </w:tcPr>
          <w:p w:rsidR="004C2863" w:rsidRDefault="004C2863">
            <w:pPr>
              <w:spacing w:line="180" w:lineRule="exact"/>
              <w:jc w:val="center"/>
              <w:rPr>
                <w:rFonts w:ascii="仿宋" w:hAnsi="仿宋" w:cs="仿宋"/>
                <w:color w:val="000000" w:themeColor="text1"/>
                <w:spacing w:val="11"/>
                <w:sz w:val="18"/>
                <w:szCs w:val="18"/>
              </w:rPr>
            </w:pPr>
          </w:p>
        </w:tc>
        <w:tc>
          <w:tcPr>
            <w:tcW w:w="600" w:type="dxa"/>
            <w:vMerge/>
            <w:vAlign w:val="center"/>
          </w:tcPr>
          <w:p w:rsidR="004C2863" w:rsidRDefault="004C2863">
            <w:pPr>
              <w:spacing w:line="180" w:lineRule="exact"/>
              <w:rPr>
                <w:rFonts w:ascii="仿宋" w:hAnsi="仿宋" w:cs="仿宋"/>
                <w:color w:val="000000" w:themeColor="text1"/>
                <w:spacing w:val="11"/>
                <w:sz w:val="18"/>
                <w:szCs w:val="18"/>
              </w:rPr>
            </w:pPr>
          </w:p>
        </w:tc>
        <w:tc>
          <w:tcPr>
            <w:tcW w:w="619" w:type="dxa"/>
            <w:vMerge/>
            <w:vAlign w:val="center"/>
          </w:tcPr>
          <w:p w:rsidR="004C2863" w:rsidRDefault="004C2863">
            <w:pPr>
              <w:spacing w:line="180" w:lineRule="exact"/>
              <w:rPr>
                <w:rFonts w:ascii="仿宋" w:hAnsi="仿宋" w:cs="仿宋"/>
                <w:color w:val="000000" w:themeColor="text1"/>
                <w:spacing w:val="11"/>
                <w:sz w:val="18"/>
                <w:szCs w:val="18"/>
              </w:rPr>
            </w:pPr>
          </w:p>
        </w:tc>
        <w:tc>
          <w:tcPr>
            <w:tcW w:w="4167" w:type="dxa"/>
            <w:vMerge/>
            <w:vAlign w:val="center"/>
          </w:tcPr>
          <w:p w:rsidR="004C2863" w:rsidRDefault="004C2863">
            <w:pPr>
              <w:pStyle w:val="TableParagraph"/>
              <w:spacing w:line="180" w:lineRule="exact"/>
              <w:rPr>
                <w:rFonts w:ascii="仿宋" w:hAnsi="仿宋" w:cs="仿宋"/>
                <w:color w:val="000000" w:themeColor="text1"/>
                <w:spacing w:val="11"/>
                <w:sz w:val="18"/>
                <w:szCs w:val="18"/>
              </w:rPr>
            </w:pPr>
          </w:p>
        </w:tc>
        <w:tc>
          <w:tcPr>
            <w:tcW w:w="3663" w:type="dxa"/>
            <w:vAlign w:val="center"/>
          </w:tcPr>
          <w:p w:rsidR="004C2863" w:rsidRDefault="00510AEA">
            <w:pPr>
              <w:widowControl/>
              <w:spacing w:line="180" w:lineRule="exact"/>
              <w:rPr>
                <w:rFonts w:ascii="仿宋" w:hAnsi="仿宋" w:cs="仿宋"/>
                <w:color w:val="000000" w:themeColor="text1"/>
                <w:sz w:val="18"/>
                <w:szCs w:val="18"/>
              </w:rPr>
            </w:pPr>
            <w:r>
              <w:rPr>
                <w:rFonts w:ascii="仿宋" w:hAnsi="仿宋" w:cs="仿宋" w:hint="eastAsia"/>
                <w:color w:val="000000" w:themeColor="text1"/>
                <w:kern w:val="0"/>
                <w:sz w:val="18"/>
                <w:szCs w:val="18"/>
                <w:lang w:bidi="ar"/>
              </w:rPr>
              <w:t>否决项：</w:t>
            </w:r>
          </w:p>
          <w:p w:rsidR="004C2863" w:rsidRDefault="00510AEA">
            <w:pPr>
              <w:widowControl/>
              <w:spacing w:line="180" w:lineRule="exact"/>
              <w:rPr>
                <w:rFonts w:ascii="仿宋" w:hAnsi="仿宋" w:cs="仿宋"/>
                <w:color w:val="000000" w:themeColor="text1"/>
                <w:spacing w:val="11"/>
                <w:sz w:val="18"/>
                <w:szCs w:val="18"/>
              </w:rPr>
            </w:pPr>
            <w:r>
              <w:rPr>
                <w:rFonts w:ascii="仿宋" w:hAnsi="仿宋" w:cs="仿宋" w:hint="eastAsia"/>
                <w:color w:val="000000" w:themeColor="text1"/>
                <w:kern w:val="0"/>
                <w:sz w:val="18"/>
                <w:szCs w:val="18"/>
                <w:lang w:bidi="ar"/>
              </w:rPr>
              <w:t>主要负责人未</w:t>
            </w:r>
            <w:r>
              <w:rPr>
                <w:rFonts w:ascii="仿宋" w:hAnsi="仿宋" w:cs="仿宋" w:hint="eastAsia"/>
                <w:color w:val="000000" w:themeColor="text1"/>
                <w:kern w:val="0"/>
                <w:sz w:val="18"/>
                <w:szCs w:val="18"/>
                <w:lang w:bidi="ar"/>
              </w:rPr>
              <w:t>做</w:t>
            </w:r>
            <w:r>
              <w:rPr>
                <w:rFonts w:ascii="仿宋" w:hAnsi="仿宋" w:cs="仿宋" w:hint="eastAsia"/>
                <w:color w:val="000000" w:themeColor="text1"/>
                <w:kern w:val="0"/>
                <w:sz w:val="18"/>
                <w:szCs w:val="18"/>
                <w:lang w:bidi="ar"/>
              </w:rPr>
              <w:t>出三个层面承诺。</w:t>
            </w:r>
          </w:p>
        </w:tc>
        <w:tc>
          <w:tcPr>
            <w:tcW w:w="2711" w:type="dxa"/>
            <w:vMerge/>
            <w:vAlign w:val="center"/>
          </w:tcPr>
          <w:p w:rsidR="004C2863" w:rsidRDefault="004C2863">
            <w:pPr>
              <w:pStyle w:val="TableParagraph"/>
              <w:spacing w:line="180" w:lineRule="exact"/>
              <w:rPr>
                <w:rFonts w:ascii="仿宋" w:hAnsi="仿宋" w:cs="仿宋"/>
                <w:color w:val="000000" w:themeColor="text1"/>
                <w:spacing w:val="11"/>
                <w:sz w:val="18"/>
                <w:szCs w:val="18"/>
              </w:rPr>
            </w:pPr>
          </w:p>
        </w:tc>
        <w:tc>
          <w:tcPr>
            <w:tcW w:w="1185" w:type="dxa"/>
            <w:vMerge/>
            <w:vAlign w:val="center"/>
          </w:tcPr>
          <w:p w:rsidR="004C2863" w:rsidRDefault="004C2863">
            <w:pPr>
              <w:spacing w:line="180" w:lineRule="exact"/>
              <w:rPr>
                <w:rFonts w:ascii="仿宋" w:hAnsi="仿宋" w:cs="仿宋"/>
                <w:color w:val="000000" w:themeColor="text1"/>
                <w:spacing w:val="16"/>
                <w:sz w:val="18"/>
                <w:szCs w:val="18"/>
              </w:rPr>
            </w:pPr>
          </w:p>
        </w:tc>
        <w:tc>
          <w:tcPr>
            <w:tcW w:w="612" w:type="dxa"/>
            <w:vMerge/>
          </w:tcPr>
          <w:p w:rsidR="004C2863" w:rsidRDefault="004C2863">
            <w:pPr>
              <w:spacing w:line="0" w:lineRule="atLeast"/>
              <w:rPr>
                <w:rFonts w:ascii="仿宋" w:hAnsi="仿宋" w:cs="仿宋"/>
                <w:color w:val="000000" w:themeColor="text1"/>
                <w:sz w:val="18"/>
                <w:szCs w:val="18"/>
              </w:rPr>
            </w:pPr>
          </w:p>
        </w:tc>
      </w:tr>
      <w:tr w:rsidR="004C2863">
        <w:tc>
          <w:tcPr>
            <w:tcW w:w="450" w:type="dxa"/>
            <w:vAlign w:val="center"/>
          </w:tcPr>
          <w:p w:rsidR="004C2863" w:rsidRDefault="00510AEA">
            <w:pPr>
              <w:spacing w:line="180" w:lineRule="exact"/>
              <w:jc w:val="center"/>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19</w:t>
            </w:r>
          </w:p>
        </w:tc>
        <w:tc>
          <w:tcPr>
            <w:tcW w:w="600" w:type="dxa"/>
            <w:vAlign w:val="center"/>
          </w:tcPr>
          <w:p w:rsidR="004C2863" w:rsidRDefault="00510AEA">
            <w:pPr>
              <w:spacing w:line="180" w:lineRule="exact"/>
              <w:jc w:val="center"/>
              <w:rPr>
                <w:rFonts w:ascii="仿宋" w:hAnsi="仿宋" w:cs="仿宋"/>
                <w:color w:val="000000" w:themeColor="text1"/>
                <w:spacing w:val="11"/>
                <w:sz w:val="18"/>
                <w:szCs w:val="18"/>
              </w:rPr>
            </w:pPr>
            <w:r>
              <w:rPr>
                <w:rFonts w:ascii="仿宋" w:hAnsi="仿宋" w:cs="仿宋" w:hint="eastAsia"/>
                <w:color w:val="000000" w:themeColor="text1"/>
                <w:sz w:val="18"/>
                <w:szCs w:val="18"/>
              </w:rPr>
              <w:t>煤矿安全标准化管理体系</w:t>
            </w:r>
          </w:p>
        </w:tc>
        <w:tc>
          <w:tcPr>
            <w:tcW w:w="619" w:type="dxa"/>
            <w:vAlign w:val="center"/>
          </w:tcPr>
          <w:p w:rsidR="004C2863" w:rsidRDefault="00510AEA">
            <w:pPr>
              <w:spacing w:line="180" w:lineRule="exact"/>
              <w:jc w:val="center"/>
              <w:rPr>
                <w:rFonts w:ascii="仿宋" w:hAnsi="仿宋" w:cs="仿宋"/>
                <w:color w:val="000000" w:themeColor="text1"/>
                <w:spacing w:val="11"/>
                <w:sz w:val="18"/>
                <w:szCs w:val="18"/>
              </w:rPr>
            </w:pPr>
            <w:r>
              <w:rPr>
                <w:rFonts w:ascii="仿宋" w:hAnsi="仿宋" w:cs="仿宋" w:hint="eastAsia"/>
                <w:color w:val="000000" w:themeColor="text1"/>
                <w:sz w:val="18"/>
                <w:szCs w:val="18"/>
              </w:rPr>
              <w:t>煤矿安全标准化管理体系</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负责安全生产标准化工作的机构和职责；</w:t>
            </w: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制定安全生产标准化年度计划，并分解到相关部门严格执行和考核；</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保障安全生产标准化经费，持续改进和完善安全生产条件；</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健全技术管理体系，完善工作制度，开展技术创新；作业规程、操作规程及安全技术措施编制符合要求，审批手续完备，贯彻执行到位；</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5.</w:t>
            </w:r>
            <w:r>
              <w:rPr>
                <w:rFonts w:ascii="仿宋" w:hAnsi="仿宋" w:cs="仿宋" w:hint="eastAsia"/>
                <w:color w:val="000000" w:themeColor="text1"/>
                <w:spacing w:val="11"/>
                <w:sz w:val="18"/>
                <w:szCs w:val="18"/>
              </w:rPr>
              <w:t>加强各生产环节的过程管控和现场管理，定期开展安全生产标准化达标自检工作；</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6.</w:t>
            </w:r>
            <w:r>
              <w:rPr>
                <w:rFonts w:ascii="仿宋" w:hAnsi="仿宋" w:cs="仿宋" w:hint="eastAsia"/>
                <w:color w:val="000000" w:themeColor="text1"/>
                <w:spacing w:val="11"/>
                <w:sz w:val="18"/>
                <w:szCs w:val="18"/>
              </w:rPr>
              <w:t>有目的、有计划的持续改进工艺技术、设备设施、管理措施，规范员工安全行为，进一步改善安全生产条件，使煤矿持续保持考核定级时的安全生产条件，并不断提高安全生产标准化水平，建立安全生产标准化长效机制。</w:t>
            </w:r>
          </w:p>
        </w:tc>
        <w:tc>
          <w:tcPr>
            <w:tcW w:w="3663" w:type="dxa"/>
            <w:vAlign w:val="center"/>
          </w:tcPr>
          <w:p w:rsidR="004C2863" w:rsidRDefault="00510AEA">
            <w:pPr>
              <w:pStyle w:val="ad"/>
              <w:spacing w:line="180" w:lineRule="exact"/>
              <w:ind w:firstLineChars="0" w:firstLine="0"/>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标准化管理体系经省级初验，达到一级标准并保持动态达标；</w:t>
            </w:r>
          </w:p>
          <w:p w:rsidR="004C2863" w:rsidRDefault="00510AEA">
            <w:pPr>
              <w:pStyle w:val="ad"/>
              <w:spacing w:line="180" w:lineRule="exact"/>
              <w:ind w:firstLineChars="0" w:firstLine="0"/>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成立煤矿安全生产标准化建设领导小组，达标任务明确、责任到位、措施具体、针对性强；</w:t>
            </w:r>
          </w:p>
          <w:p w:rsidR="004C2863" w:rsidRDefault="00510AEA">
            <w:pPr>
              <w:pStyle w:val="ad"/>
              <w:spacing w:line="180" w:lineRule="exact"/>
              <w:ind w:firstLineChars="0" w:firstLine="0"/>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制定并严格执行实用、管用的安全生产标准化奖惩激励办法；</w:t>
            </w:r>
          </w:p>
          <w:p w:rsidR="004C2863" w:rsidRDefault="00510AEA">
            <w:pPr>
              <w:pStyle w:val="ad"/>
              <w:spacing w:line="180" w:lineRule="exact"/>
              <w:ind w:firstLineChars="0" w:firstLine="0"/>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标准化“班评估、巡检查、月自评”制度执行到位，检查公平、公正，评比结果公开；</w:t>
            </w:r>
          </w:p>
          <w:p w:rsidR="004C2863" w:rsidRDefault="00510AEA">
            <w:pPr>
              <w:pStyle w:val="ad"/>
              <w:spacing w:line="180" w:lineRule="exact"/>
              <w:ind w:firstLineChars="0" w:firstLine="0"/>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5.</w:t>
            </w:r>
            <w:r>
              <w:rPr>
                <w:rFonts w:ascii="仿宋" w:hAnsi="仿宋" w:cs="仿宋" w:hint="eastAsia"/>
                <w:color w:val="000000" w:themeColor="text1"/>
                <w:spacing w:val="11"/>
                <w:sz w:val="18"/>
                <w:szCs w:val="18"/>
              </w:rPr>
              <w:t>近三年无亡人事故；</w:t>
            </w:r>
          </w:p>
          <w:p w:rsidR="004C2863" w:rsidRDefault="00510AEA">
            <w:pPr>
              <w:pStyle w:val="ad"/>
              <w:spacing w:line="180" w:lineRule="exact"/>
              <w:ind w:firstLineChars="0" w:firstLine="0"/>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6.</w:t>
            </w:r>
            <w:r>
              <w:rPr>
                <w:rFonts w:ascii="仿宋" w:hAnsi="仿宋" w:cs="仿宋" w:hint="eastAsia"/>
                <w:color w:val="000000" w:themeColor="text1"/>
                <w:spacing w:val="11"/>
                <w:sz w:val="18"/>
                <w:szCs w:val="18"/>
              </w:rPr>
              <w:t>重大灾害治理措施有效，安全投入到位；</w:t>
            </w:r>
          </w:p>
          <w:p w:rsidR="004C2863" w:rsidRDefault="00510AEA">
            <w:pPr>
              <w:pStyle w:val="ad"/>
              <w:spacing w:line="180" w:lineRule="exact"/>
              <w:ind w:firstLineChars="0" w:firstLine="0"/>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7.</w:t>
            </w:r>
            <w:r>
              <w:rPr>
                <w:rFonts w:ascii="仿宋" w:hAnsi="仿宋" w:cs="仿宋" w:hint="eastAsia"/>
                <w:color w:val="000000" w:themeColor="text1"/>
                <w:spacing w:val="11"/>
                <w:sz w:val="18"/>
                <w:szCs w:val="18"/>
              </w:rPr>
              <w:t>企业文化建设持续开展，有效推动安全生产工作</w:t>
            </w:r>
            <w:r>
              <w:rPr>
                <w:rFonts w:ascii="仿宋" w:hAnsi="仿宋" w:cs="仿宋" w:hint="eastAsia"/>
                <w:color w:val="000000" w:themeColor="text1"/>
                <w:spacing w:val="11"/>
                <w:sz w:val="18"/>
                <w:szCs w:val="18"/>
              </w:rPr>
              <w:t>。</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检查矿井标准化一级（公告）初验结果；</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查阅矿井相关文件、制度、资料；</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查阅矿井标准化班评估巡检查及自评相关记录台账；</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检查上级监管监察部门检查出问题的整改情况。</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c>
          <w:tcPr>
            <w:tcW w:w="450" w:type="dxa"/>
            <w:vAlign w:val="center"/>
          </w:tcPr>
          <w:p w:rsidR="004C2863" w:rsidRDefault="00510AEA">
            <w:pPr>
              <w:spacing w:line="180" w:lineRule="exact"/>
              <w:jc w:val="center"/>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20</w:t>
            </w:r>
          </w:p>
        </w:tc>
        <w:tc>
          <w:tcPr>
            <w:tcW w:w="600" w:type="dxa"/>
            <w:vMerge w:val="restart"/>
            <w:vAlign w:val="center"/>
          </w:tcPr>
          <w:p w:rsidR="004C2863" w:rsidRDefault="00510AEA">
            <w:pPr>
              <w:spacing w:line="180" w:lineRule="exact"/>
              <w:jc w:val="center"/>
              <w:rPr>
                <w:rFonts w:ascii="仿宋" w:hAnsi="仿宋" w:cs="仿宋"/>
                <w:color w:val="000000" w:themeColor="text1"/>
                <w:spacing w:val="11"/>
                <w:sz w:val="18"/>
                <w:szCs w:val="18"/>
              </w:rPr>
            </w:pPr>
            <w:r>
              <w:rPr>
                <w:rFonts w:ascii="仿宋" w:hAnsi="仿宋" w:cs="仿宋" w:hint="eastAsia"/>
                <w:color w:val="000000" w:themeColor="text1"/>
                <w:sz w:val="18"/>
                <w:szCs w:val="18"/>
              </w:rPr>
              <w:t>智能化和一优三减</w:t>
            </w:r>
          </w:p>
        </w:tc>
        <w:tc>
          <w:tcPr>
            <w:tcW w:w="619" w:type="dxa"/>
            <w:vAlign w:val="center"/>
          </w:tcPr>
          <w:p w:rsidR="004C2863" w:rsidRDefault="00510AEA">
            <w:pPr>
              <w:spacing w:line="180" w:lineRule="exact"/>
              <w:jc w:val="center"/>
              <w:rPr>
                <w:rFonts w:ascii="仿宋" w:hAnsi="仿宋" w:cs="仿宋"/>
                <w:color w:val="000000" w:themeColor="text1"/>
                <w:spacing w:val="11"/>
                <w:sz w:val="18"/>
                <w:szCs w:val="18"/>
              </w:rPr>
            </w:pPr>
            <w:r>
              <w:rPr>
                <w:rFonts w:ascii="仿宋" w:hAnsi="仿宋" w:cs="仿宋" w:hint="eastAsia"/>
                <w:color w:val="000000" w:themeColor="text1"/>
                <w:sz w:val="18"/>
                <w:szCs w:val="18"/>
              </w:rPr>
              <w:t>智能化建设方面</w:t>
            </w:r>
          </w:p>
        </w:tc>
        <w:tc>
          <w:tcPr>
            <w:tcW w:w="4167" w:type="dxa"/>
            <w:vAlign w:val="center"/>
          </w:tcPr>
          <w:p w:rsidR="004C2863" w:rsidRDefault="00510AEA">
            <w:pPr>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智能化煤矿建设的基本条件；</w:t>
            </w:r>
          </w:p>
          <w:p w:rsidR="004C2863" w:rsidRDefault="00510AEA">
            <w:pPr>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矿井智能化建设方案；</w:t>
            </w:r>
          </w:p>
          <w:p w:rsidR="004C2863" w:rsidRDefault="00510AEA">
            <w:pPr>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矿井《智能化示范建设煤矿自验收报》；</w:t>
            </w:r>
          </w:p>
          <w:p w:rsidR="004C2863" w:rsidRDefault="00510AEA">
            <w:pPr>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《智能化示范建设煤矿验收申请表》和《智能化示范建设煤矿自验收报告》；</w:t>
            </w:r>
          </w:p>
          <w:p w:rsidR="004C2863" w:rsidRDefault="00510AEA">
            <w:pPr>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5.</w:t>
            </w:r>
            <w:r>
              <w:rPr>
                <w:rFonts w:ascii="仿宋" w:hAnsi="仿宋" w:cs="仿宋" w:hint="eastAsia"/>
                <w:color w:val="000000" w:themeColor="text1"/>
                <w:spacing w:val="11"/>
                <w:sz w:val="18"/>
                <w:szCs w:val="18"/>
              </w:rPr>
              <w:t>国家能源局关于中级及以上智能化矿井的公告。</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矿井证照齐全有效；</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智能化建设方案（包括煤矿概况、智能化建设基础、建设目标和任务、关键技术与装备、计划安排、资金投入等，建设方案符合实际切实可行）；</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验收程序及验收报告符合国家能源局《智能化示范煤矿验收管理办法（试行）》要求。</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是否实现辅助系统智能化；</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5.</w:t>
            </w:r>
            <w:r>
              <w:rPr>
                <w:rFonts w:ascii="仿宋" w:hAnsi="仿宋" w:cs="仿宋" w:hint="eastAsia"/>
                <w:color w:val="000000" w:themeColor="text1"/>
                <w:spacing w:val="11"/>
                <w:sz w:val="18"/>
                <w:szCs w:val="18"/>
              </w:rPr>
              <w:t>井下危险、巡检岗位是否机器人替代。</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查阅矿井相关证照；</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查阅矿井智能化建设方案；</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查阅矿井自验收报告，省级部门验收报告、国家能源局公告文件。</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现场检查矿井辅助系统智能化和危险、巡检岗位是否机器人替代。</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1031"/>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21</w:t>
            </w:r>
          </w:p>
        </w:tc>
        <w:tc>
          <w:tcPr>
            <w:tcW w:w="600" w:type="dxa"/>
            <w:vMerge/>
            <w:vAlign w:val="center"/>
          </w:tcPr>
          <w:p w:rsidR="004C2863" w:rsidRDefault="004C2863">
            <w:pPr>
              <w:spacing w:line="180" w:lineRule="exact"/>
              <w:rPr>
                <w:rFonts w:ascii="仿宋" w:hAnsi="仿宋" w:cs="仿宋"/>
                <w:color w:val="000000" w:themeColor="text1"/>
                <w:spacing w:val="11"/>
                <w:sz w:val="18"/>
                <w:szCs w:val="18"/>
              </w:rPr>
            </w:pPr>
          </w:p>
        </w:tc>
        <w:tc>
          <w:tcPr>
            <w:tcW w:w="619" w:type="dxa"/>
            <w:vAlign w:val="center"/>
          </w:tcPr>
          <w:p w:rsidR="004C2863" w:rsidRDefault="00510AEA">
            <w:pPr>
              <w:spacing w:line="180" w:lineRule="exact"/>
              <w:jc w:val="center"/>
              <w:rPr>
                <w:rFonts w:ascii="仿宋" w:hAnsi="仿宋" w:cs="仿宋"/>
                <w:color w:val="000000" w:themeColor="text1"/>
                <w:spacing w:val="11"/>
                <w:sz w:val="18"/>
                <w:szCs w:val="18"/>
              </w:rPr>
            </w:pPr>
            <w:r>
              <w:rPr>
                <w:rFonts w:ascii="仿宋" w:hAnsi="仿宋" w:cs="仿宋" w:hint="eastAsia"/>
                <w:color w:val="000000" w:themeColor="text1"/>
                <w:sz w:val="18"/>
                <w:szCs w:val="18"/>
              </w:rPr>
              <w:t>一优三减方面</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矿井开拓布局、水平布置、采掘工作面设置情况；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生产安全各系统情况；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井下单班人数、采掘工作面单班人数；</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4.</w:t>
            </w:r>
            <w:r>
              <w:rPr>
                <w:rFonts w:ascii="仿宋" w:hAnsi="仿宋" w:cs="仿宋" w:hint="eastAsia"/>
                <w:color w:val="000000" w:themeColor="text1"/>
                <w:spacing w:val="11"/>
                <w:sz w:val="18"/>
                <w:szCs w:val="18"/>
              </w:rPr>
              <w:t>矿井“三量”情况</w:t>
            </w:r>
            <w:r>
              <w:rPr>
                <w:rFonts w:ascii="仿宋" w:hAnsi="仿宋" w:cs="仿宋" w:hint="eastAsia"/>
                <w:color w:val="000000" w:themeColor="text1"/>
                <w:spacing w:val="11"/>
                <w:sz w:val="18"/>
                <w:szCs w:val="18"/>
              </w:rPr>
              <w:t>。</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矿井各安全生产系统是否达到最优化；</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井下单班人数、采掘工作面人数是否符合要求、是否最少化；</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矿井“三量”是否符合要求</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查阅矿井开采设计、采区、工作面设计、矿井安全系统设计、方案及安全措施落实；</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检查矿井“三量”</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抽查人员定位系统</w:t>
            </w:r>
            <w:r>
              <w:rPr>
                <w:rFonts w:ascii="仿宋" w:hAnsi="仿宋" w:cs="仿宋" w:hint="eastAsia"/>
                <w:color w:val="000000" w:themeColor="text1"/>
                <w:spacing w:val="11"/>
                <w:sz w:val="18"/>
                <w:szCs w:val="18"/>
              </w:rPr>
              <w:t>。</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r w:rsidR="004C2863">
        <w:trPr>
          <w:trHeight w:val="1141"/>
        </w:trPr>
        <w:tc>
          <w:tcPr>
            <w:tcW w:w="45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22</w:t>
            </w:r>
          </w:p>
        </w:tc>
        <w:tc>
          <w:tcPr>
            <w:tcW w:w="600"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其他条件</w:t>
            </w:r>
          </w:p>
        </w:tc>
        <w:tc>
          <w:tcPr>
            <w:tcW w:w="619" w:type="dxa"/>
            <w:vAlign w:val="center"/>
          </w:tcPr>
          <w:p w:rsidR="004C2863" w:rsidRDefault="00510AEA">
            <w:pPr>
              <w:spacing w:line="180" w:lineRule="exact"/>
              <w:jc w:val="center"/>
              <w:rPr>
                <w:rFonts w:ascii="仿宋" w:hAnsi="仿宋" w:cs="仿宋"/>
                <w:color w:val="000000" w:themeColor="text1"/>
                <w:sz w:val="18"/>
                <w:szCs w:val="18"/>
              </w:rPr>
            </w:pPr>
            <w:r>
              <w:rPr>
                <w:rFonts w:ascii="仿宋" w:hAnsi="仿宋" w:cs="仿宋" w:hint="eastAsia"/>
                <w:color w:val="000000" w:themeColor="text1"/>
                <w:sz w:val="18"/>
                <w:szCs w:val="18"/>
              </w:rPr>
              <w:t>其他条件</w:t>
            </w:r>
          </w:p>
        </w:tc>
        <w:tc>
          <w:tcPr>
            <w:tcW w:w="4167"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矿井近三年安全状况；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标准化建设和动态达标；</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各级监管监察部门检查发现隐患整改情况</w:t>
            </w:r>
            <w:r>
              <w:rPr>
                <w:rFonts w:ascii="仿宋" w:hAnsi="仿宋" w:cs="仿宋" w:hint="eastAsia"/>
                <w:color w:val="000000" w:themeColor="text1"/>
                <w:spacing w:val="11"/>
                <w:sz w:val="18"/>
                <w:szCs w:val="18"/>
              </w:rPr>
              <w:t>。</w:t>
            </w:r>
          </w:p>
        </w:tc>
        <w:tc>
          <w:tcPr>
            <w:tcW w:w="3663"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近三年无亡人事故；</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达到一级安全生产标准化管理体系等级；</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2022</w:t>
            </w:r>
            <w:r>
              <w:rPr>
                <w:rFonts w:ascii="仿宋" w:hAnsi="仿宋" w:cs="仿宋" w:hint="eastAsia"/>
                <w:color w:val="000000" w:themeColor="text1"/>
                <w:spacing w:val="11"/>
                <w:sz w:val="18"/>
                <w:szCs w:val="18"/>
              </w:rPr>
              <w:t>年</w:t>
            </w:r>
            <w:r>
              <w:rPr>
                <w:rFonts w:ascii="仿宋" w:hAnsi="仿宋" w:cs="仿宋" w:hint="eastAsia"/>
                <w:color w:val="000000" w:themeColor="text1"/>
                <w:spacing w:val="11"/>
                <w:sz w:val="18"/>
                <w:szCs w:val="18"/>
              </w:rPr>
              <w:t>以来各级检查未发现重大安全隐患。</w:t>
            </w:r>
          </w:p>
        </w:tc>
        <w:tc>
          <w:tcPr>
            <w:tcW w:w="2711" w:type="dxa"/>
            <w:vAlign w:val="center"/>
          </w:tcPr>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1.</w:t>
            </w:r>
            <w:r>
              <w:rPr>
                <w:rFonts w:ascii="仿宋" w:hAnsi="仿宋" w:cs="仿宋" w:hint="eastAsia"/>
                <w:color w:val="000000" w:themeColor="text1"/>
                <w:spacing w:val="11"/>
                <w:sz w:val="18"/>
                <w:szCs w:val="18"/>
              </w:rPr>
              <w:t>调查矿井近三年安全状况；</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2.</w:t>
            </w:r>
            <w:r>
              <w:rPr>
                <w:rFonts w:ascii="仿宋" w:hAnsi="仿宋" w:cs="仿宋" w:hint="eastAsia"/>
                <w:color w:val="000000" w:themeColor="text1"/>
                <w:spacing w:val="11"/>
                <w:sz w:val="18"/>
                <w:szCs w:val="18"/>
              </w:rPr>
              <w:t>随机对照标准化评分细则抽查；</w:t>
            </w:r>
          </w:p>
          <w:p w:rsidR="004C2863" w:rsidRDefault="00510AEA">
            <w:pPr>
              <w:pStyle w:val="TableParagraph"/>
              <w:spacing w:line="180" w:lineRule="exact"/>
              <w:rPr>
                <w:rFonts w:ascii="仿宋" w:hAnsi="仿宋" w:cs="仿宋"/>
                <w:color w:val="000000" w:themeColor="text1"/>
                <w:spacing w:val="11"/>
                <w:sz w:val="18"/>
                <w:szCs w:val="18"/>
              </w:rPr>
            </w:pPr>
            <w:r>
              <w:rPr>
                <w:rFonts w:ascii="仿宋" w:hAnsi="仿宋" w:cs="仿宋" w:hint="eastAsia"/>
                <w:color w:val="000000" w:themeColor="text1"/>
                <w:spacing w:val="11"/>
                <w:sz w:val="18"/>
                <w:szCs w:val="18"/>
              </w:rPr>
              <w:t>3.</w:t>
            </w:r>
            <w:r>
              <w:rPr>
                <w:rFonts w:ascii="仿宋" w:hAnsi="仿宋" w:cs="仿宋" w:hint="eastAsia"/>
                <w:color w:val="000000" w:themeColor="text1"/>
                <w:spacing w:val="11"/>
                <w:sz w:val="18"/>
                <w:szCs w:val="18"/>
              </w:rPr>
              <w:t>检查各级监管监察部门检查发现隐患整改情况</w:t>
            </w:r>
            <w:r>
              <w:rPr>
                <w:rFonts w:ascii="仿宋" w:hAnsi="仿宋" w:cs="仿宋" w:hint="eastAsia"/>
                <w:color w:val="000000" w:themeColor="text1"/>
                <w:spacing w:val="11"/>
                <w:sz w:val="18"/>
                <w:szCs w:val="18"/>
              </w:rPr>
              <w:t>。</w:t>
            </w:r>
          </w:p>
        </w:tc>
        <w:tc>
          <w:tcPr>
            <w:tcW w:w="1185" w:type="dxa"/>
            <w:vAlign w:val="center"/>
          </w:tcPr>
          <w:p w:rsidR="004C2863" w:rsidRDefault="00510AEA">
            <w:pPr>
              <w:spacing w:line="180" w:lineRule="exact"/>
              <w:rPr>
                <w:rFonts w:ascii="仿宋" w:hAnsi="仿宋" w:cs="仿宋"/>
                <w:color w:val="000000" w:themeColor="text1"/>
                <w:sz w:val="18"/>
                <w:szCs w:val="18"/>
              </w:rPr>
            </w:pPr>
            <w:r>
              <w:rPr>
                <w:rFonts w:ascii="仿宋" w:hAnsi="仿宋" w:cs="仿宋" w:hint="eastAsia"/>
                <w:color w:val="000000" w:themeColor="text1"/>
                <w:sz w:val="18"/>
                <w:szCs w:val="18"/>
              </w:rPr>
              <w:t>□符合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w:t>
            </w:r>
          </w:p>
          <w:p w:rsidR="004C2863" w:rsidRDefault="00510AEA">
            <w:pPr>
              <w:spacing w:line="180" w:lineRule="exact"/>
              <w:rPr>
                <w:rFonts w:ascii="仿宋" w:hAnsi="仿宋" w:cs="仿宋"/>
                <w:color w:val="000000" w:themeColor="text1"/>
                <w:spacing w:val="16"/>
                <w:sz w:val="18"/>
                <w:szCs w:val="18"/>
              </w:rPr>
            </w:pPr>
            <w:r>
              <w:rPr>
                <w:rFonts w:ascii="仿宋" w:hAnsi="仿宋" w:cs="仿宋" w:hint="eastAsia"/>
                <w:color w:val="000000" w:themeColor="text1"/>
                <w:spacing w:val="16"/>
                <w:sz w:val="18"/>
                <w:szCs w:val="18"/>
              </w:rPr>
              <w:t>不符合情况：</w:t>
            </w:r>
          </w:p>
        </w:tc>
        <w:tc>
          <w:tcPr>
            <w:tcW w:w="612" w:type="dxa"/>
          </w:tcPr>
          <w:p w:rsidR="004C2863" w:rsidRDefault="004C2863">
            <w:pPr>
              <w:spacing w:line="0" w:lineRule="atLeast"/>
              <w:rPr>
                <w:rFonts w:ascii="仿宋" w:hAnsi="仿宋" w:cs="仿宋"/>
                <w:color w:val="000000" w:themeColor="text1"/>
                <w:sz w:val="18"/>
                <w:szCs w:val="18"/>
              </w:rPr>
            </w:pPr>
          </w:p>
        </w:tc>
      </w:tr>
    </w:tbl>
    <w:p w:rsidR="004C2863" w:rsidRDefault="004C2863">
      <w:pPr>
        <w:pStyle w:val="a4"/>
        <w:snapToGrid/>
        <w:rPr>
          <w:rFonts w:ascii="Calibri" w:eastAsia="仿宋_GB2312" w:hAnsi="Calibri" w:cs="Times New Roman" w:hint="eastAsia"/>
          <w:color w:val="000000" w:themeColor="text1"/>
          <w:sz w:val="32"/>
        </w:rPr>
      </w:pPr>
    </w:p>
    <w:sectPr w:rsidR="004C2863" w:rsidSect="002E1410">
      <w:footerReference w:type="default" r:id="rId7"/>
      <w:type w:val="continuous"/>
      <w:pgSz w:w="16838" w:h="11906" w:orient="landscape"/>
      <w:pgMar w:top="1587" w:right="1701" w:bottom="1587" w:left="1587" w:header="851" w:footer="992" w:gutter="0"/>
      <w:pgNumType w:fmt="numberInDash"/>
      <w:cols w:space="0"/>
      <w:docGrid w:type="linesAndChars" w:linePitch="615"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AEA" w:rsidRDefault="00510AEA">
      <w:r>
        <w:separator/>
      </w:r>
    </w:p>
  </w:endnote>
  <w:endnote w:type="continuationSeparator" w:id="0">
    <w:p w:rsidR="00510AEA" w:rsidRDefault="0051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863" w:rsidRDefault="004C28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AEA" w:rsidRDefault="00510AEA">
      <w:r>
        <w:separator/>
      </w:r>
    </w:p>
  </w:footnote>
  <w:footnote w:type="continuationSeparator" w:id="0">
    <w:p w:rsidR="00510AEA" w:rsidRDefault="00510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trackedChanges" w:enforcement="0"/>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D8615A"/>
    <w:rsid w:val="000832D7"/>
    <w:rsid w:val="002B05CC"/>
    <w:rsid w:val="002E1410"/>
    <w:rsid w:val="004C2863"/>
    <w:rsid w:val="00510AEA"/>
    <w:rsid w:val="007B5772"/>
    <w:rsid w:val="00BD0C9B"/>
    <w:rsid w:val="018D6819"/>
    <w:rsid w:val="01A36781"/>
    <w:rsid w:val="01B151B7"/>
    <w:rsid w:val="028F6FE4"/>
    <w:rsid w:val="03BB1F54"/>
    <w:rsid w:val="04B34D89"/>
    <w:rsid w:val="04C848A9"/>
    <w:rsid w:val="04E660EE"/>
    <w:rsid w:val="04F04DA2"/>
    <w:rsid w:val="04F71AB8"/>
    <w:rsid w:val="05043F6C"/>
    <w:rsid w:val="05531404"/>
    <w:rsid w:val="059D629C"/>
    <w:rsid w:val="06141075"/>
    <w:rsid w:val="06352283"/>
    <w:rsid w:val="063E3B3A"/>
    <w:rsid w:val="06B826F2"/>
    <w:rsid w:val="06DA42A3"/>
    <w:rsid w:val="06E00EA1"/>
    <w:rsid w:val="071E3E33"/>
    <w:rsid w:val="07326CFF"/>
    <w:rsid w:val="07504BDE"/>
    <w:rsid w:val="07686FEC"/>
    <w:rsid w:val="07B95317"/>
    <w:rsid w:val="082D6EB5"/>
    <w:rsid w:val="087B1D84"/>
    <w:rsid w:val="08CA41E4"/>
    <w:rsid w:val="08E83C02"/>
    <w:rsid w:val="09B07A56"/>
    <w:rsid w:val="09DE5473"/>
    <w:rsid w:val="0A3017A9"/>
    <w:rsid w:val="0A43562C"/>
    <w:rsid w:val="0A786C09"/>
    <w:rsid w:val="0A810B2B"/>
    <w:rsid w:val="0AF407F0"/>
    <w:rsid w:val="0B013734"/>
    <w:rsid w:val="0B0F7528"/>
    <w:rsid w:val="0B2C17A1"/>
    <w:rsid w:val="0B39073D"/>
    <w:rsid w:val="0B431E74"/>
    <w:rsid w:val="0B590831"/>
    <w:rsid w:val="0B666A61"/>
    <w:rsid w:val="0BB5173C"/>
    <w:rsid w:val="0C013363"/>
    <w:rsid w:val="0CB477E9"/>
    <w:rsid w:val="0D00478D"/>
    <w:rsid w:val="0D250D15"/>
    <w:rsid w:val="0D511721"/>
    <w:rsid w:val="0D692BD0"/>
    <w:rsid w:val="0D6C0726"/>
    <w:rsid w:val="0E0F6591"/>
    <w:rsid w:val="0E9C2022"/>
    <w:rsid w:val="0EB41852"/>
    <w:rsid w:val="0F521D81"/>
    <w:rsid w:val="0F734A68"/>
    <w:rsid w:val="0FE205AF"/>
    <w:rsid w:val="10351721"/>
    <w:rsid w:val="10841356"/>
    <w:rsid w:val="10CE639F"/>
    <w:rsid w:val="10F61A1F"/>
    <w:rsid w:val="110129A1"/>
    <w:rsid w:val="11033AA5"/>
    <w:rsid w:val="11427BC2"/>
    <w:rsid w:val="11693C9C"/>
    <w:rsid w:val="11714D11"/>
    <w:rsid w:val="117458CE"/>
    <w:rsid w:val="11961D3B"/>
    <w:rsid w:val="12524735"/>
    <w:rsid w:val="12663B57"/>
    <w:rsid w:val="12927622"/>
    <w:rsid w:val="12B86724"/>
    <w:rsid w:val="12E37B4B"/>
    <w:rsid w:val="12EC7302"/>
    <w:rsid w:val="12FA041B"/>
    <w:rsid w:val="130B0F25"/>
    <w:rsid w:val="131A7F35"/>
    <w:rsid w:val="1335541D"/>
    <w:rsid w:val="13BD5D4B"/>
    <w:rsid w:val="13C87134"/>
    <w:rsid w:val="141338C4"/>
    <w:rsid w:val="145271A8"/>
    <w:rsid w:val="14BF09FD"/>
    <w:rsid w:val="14C20BB3"/>
    <w:rsid w:val="151117FD"/>
    <w:rsid w:val="15B46183"/>
    <w:rsid w:val="15F20D85"/>
    <w:rsid w:val="160F34C5"/>
    <w:rsid w:val="165771F1"/>
    <w:rsid w:val="16CA5784"/>
    <w:rsid w:val="16EA35A6"/>
    <w:rsid w:val="175C3E0C"/>
    <w:rsid w:val="175E4CE8"/>
    <w:rsid w:val="17641BD3"/>
    <w:rsid w:val="18BD1C0C"/>
    <w:rsid w:val="18C1437A"/>
    <w:rsid w:val="19893B76"/>
    <w:rsid w:val="19E42E82"/>
    <w:rsid w:val="1A354432"/>
    <w:rsid w:val="1A8C6BFF"/>
    <w:rsid w:val="1AA42CDC"/>
    <w:rsid w:val="1ACE2DC1"/>
    <w:rsid w:val="1B4C26AB"/>
    <w:rsid w:val="1B5D6A40"/>
    <w:rsid w:val="1B75026E"/>
    <w:rsid w:val="1B857482"/>
    <w:rsid w:val="1B9A49E1"/>
    <w:rsid w:val="1BE63433"/>
    <w:rsid w:val="1C0F6542"/>
    <w:rsid w:val="1C2A25E3"/>
    <w:rsid w:val="1C6D1858"/>
    <w:rsid w:val="1CEA33AF"/>
    <w:rsid w:val="1D3914D0"/>
    <w:rsid w:val="1D6B6BB8"/>
    <w:rsid w:val="1D7919A2"/>
    <w:rsid w:val="1D82281F"/>
    <w:rsid w:val="1D836817"/>
    <w:rsid w:val="1DFF7A47"/>
    <w:rsid w:val="1E3E7D34"/>
    <w:rsid w:val="1E601777"/>
    <w:rsid w:val="1EA07E2D"/>
    <w:rsid w:val="1EED48E1"/>
    <w:rsid w:val="1F4A1CC4"/>
    <w:rsid w:val="1F6F62DF"/>
    <w:rsid w:val="1FC13CE2"/>
    <w:rsid w:val="1FF117A2"/>
    <w:rsid w:val="20525F1D"/>
    <w:rsid w:val="212C4075"/>
    <w:rsid w:val="214B0D2C"/>
    <w:rsid w:val="21DC20FD"/>
    <w:rsid w:val="22011139"/>
    <w:rsid w:val="22250043"/>
    <w:rsid w:val="22A544F8"/>
    <w:rsid w:val="236C55FD"/>
    <w:rsid w:val="23AA5A70"/>
    <w:rsid w:val="246F5188"/>
    <w:rsid w:val="248027E5"/>
    <w:rsid w:val="249C7529"/>
    <w:rsid w:val="24B52B68"/>
    <w:rsid w:val="24DC030F"/>
    <w:rsid w:val="24FA7CF1"/>
    <w:rsid w:val="25036881"/>
    <w:rsid w:val="25137945"/>
    <w:rsid w:val="252B5A3C"/>
    <w:rsid w:val="25323C10"/>
    <w:rsid w:val="2568578D"/>
    <w:rsid w:val="256A105B"/>
    <w:rsid w:val="262421E1"/>
    <w:rsid w:val="265C1C5F"/>
    <w:rsid w:val="266C6146"/>
    <w:rsid w:val="26990A09"/>
    <w:rsid w:val="26EE485C"/>
    <w:rsid w:val="270C409F"/>
    <w:rsid w:val="27215627"/>
    <w:rsid w:val="27330197"/>
    <w:rsid w:val="287D426E"/>
    <w:rsid w:val="28815F8B"/>
    <w:rsid w:val="28AE37AA"/>
    <w:rsid w:val="290461F6"/>
    <w:rsid w:val="29260684"/>
    <w:rsid w:val="296B4033"/>
    <w:rsid w:val="297332AE"/>
    <w:rsid w:val="29785F23"/>
    <w:rsid w:val="298473B4"/>
    <w:rsid w:val="298724F6"/>
    <w:rsid w:val="2999765A"/>
    <w:rsid w:val="2A446E6B"/>
    <w:rsid w:val="2A9D38D1"/>
    <w:rsid w:val="2B8D5A8D"/>
    <w:rsid w:val="2BF66C42"/>
    <w:rsid w:val="2C3A0B79"/>
    <w:rsid w:val="2C6F03C2"/>
    <w:rsid w:val="2CEA389B"/>
    <w:rsid w:val="2D11684E"/>
    <w:rsid w:val="2D487BFC"/>
    <w:rsid w:val="2D6C64E0"/>
    <w:rsid w:val="2E4C3971"/>
    <w:rsid w:val="2E8242B7"/>
    <w:rsid w:val="2EAB1FC0"/>
    <w:rsid w:val="2EC94008"/>
    <w:rsid w:val="2ED14D0B"/>
    <w:rsid w:val="2EE003D6"/>
    <w:rsid w:val="2EF616AC"/>
    <w:rsid w:val="2F355D57"/>
    <w:rsid w:val="2F3A7AA3"/>
    <w:rsid w:val="2FD73F34"/>
    <w:rsid w:val="30226F6B"/>
    <w:rsid w:val="30616C09"/>
    <w:rsid w:val="30926890"/>
    <w:rsid w:val="30B12C16"/>
    <w:rsid w:val="30B15608"/>
    <w:rsid w:val="311328FE"/>
    <w:rsid w:val="31573974"/>
    <w:rsid w:val="317B6F42"/>
    <w:rsid w:val="31B061FD"/>
    <w:rsid w:val="31E01411"/>
    <w:rsid w:val="31FF090B"/>
    <w:rsid w:val="32000359"/>
    <w:rsid w:val="32173E3C"/>
    <w:rsid w:val="3295424A"/>
    <w:rsid w:val="32FD7C9F"/>
    <w:rsid w:val="34044629"/>
    <w:rsid w:val="343D1744"/>
    <w:rsid w:val="34B707AE"/>
    <w:rsid w:val="3501552E"/>
    <w:rsid w:val="351A320E"/>
    <w:rsid w:val="35AA1C0D"/>
    <w:rsid w:val="37372E91"/>
    <w:rsid w:val="373D431C"/>
    <w:rsid w:val="37DD6B91"/>
    <w:rsid w:val="385A00A6"/>
    <w:rsid w:val="386513EE"/>
    <w:rsid w:val="389C6AF9"/>
    <w:rsid w:val="38E640B4"/>
    <w:rsid w:val="3922729D"/>
    <w:rsid w:val="394A71BC"/>
    <w:rsid w:val="39A23188"/>
    <w:rsid w:val="39F31D04"/>
    <w:rsid w:val="3B27770B"/>
    <w:rsid w:val="3B641E44"/>
    <w:rsid w:val="3B76221F"/>
    <w:rsid w:val="3BC76631"/>
    <w:rsid w:val="3CA32E3B"/>
    <w:rsid w:val="3CF46123"/>
    <w:rsid w:val="3D3F54FB"/>
    <w:rsid w:val="3E3B2BDD"/>
    <w:rsid w:val="3E444472"/>
    <w:rsid w:val="3ED86F3F"/>
    <w:rsid w:val="3EF4493F"/>
    <w:rsid w:val="3EF51509"/>
    <w:rsid w:val="3EFB2EEF"/>
    <w:rsid w:val="3F11192F"/>
    <w:rsid w:val="3F314B98"/>
    <w:rsid w:val="3F8107AC"/>
    <w:rsid w:val="405717E0"/>
    <w:rsid w:val="40953497"/>
    <w:rsid w:val="41257E15"/>
    <w:rsid w:val="41306123"/>
    <w:rsid w:val="41333BDF"/>
    <w:rsid w:val="41876783"/>
    <w:rsid w:val="422A0E00"/>
    <w:rsid w:val="42FB4928"/>
    <w:rsid w:val="42FB66A7"/>
    <w:rsid w:val="431F018B"/>
    <w:rsid w:val="43247E53"/>
    <w:rsid w:val="438D432F"/>
    <w:rsid w:val="439D1E13"/>
    <w:rsid w:val="43EB2A96"/>
    <w:rsid w:val="44CA48C9"/>
    <w:rsid w:val="450B08B6"/>
    <w:rsid w:val="450D4EAF"/>
    <w:rsid w:val="45566D91"/>
    <w:rsid w:val="45FB3A68"/>
    <w:rsid w:val="45FD3D76"/>
    <w:rsid w:val="467208ED"/>
    <w:rsid w:val="46930D82"/>
    <w:rsid w:val="469D712D"/>
    <w:rsid w:val="475D5627"/>
    <w:rsid w:val="477979C2"/>
    <w:rsid w:val="479167D7"/>
    <w:rsid w:val="47C429B5"/>
    <w:rsid w:val="48D33409"/>
    <w:rsid w:val="48F72B0C"/>
    <w:rsid w:val="491C4A8F"/>
    <w:rsid w:val="494E3F17"/>
    <w:rsid w:val="499304C6"/>
    <w:rsid w:val="4A3A789A"/>
    <w:rsid w:val="4A9C3C47"/>
    <w:rsid w:val="4AE07E23"/>
    <w:rsid w:val="4B0A7C8E"/>
    <w:rsid w:val="4BD8644C"/>
    <w:rsid w:val="4C064F7F"/>
    <w:rsid w:val="4C655141"/>
    <w:rsid w:val="4C794EDC"/>
    <w:rsid w:val="4CEB0923"/>
    <w:rsid w:val="4D01584E"/>
    <w:rsid w:val="4D1A38FB"/>
    <w:rsid w:val="4D3479CD"/>
    <w:rsid w:val="4DE04E2E"/>
    <w:rsid w:val="4DF27705"/>
    <w:rsid w:val="4E73695F"/>
    <w:rsid w:val="4ED3738E"/>
    <w:rsid w:val="4EF25316"/>
    <w:rsid w:val="4F9317CB"/>
    <w:rsid w:val="510433D5"/>
    <w:rsid w:val="510B193B"/>
    <w:rsid w:val="5117770F"/>
    <w:rsid w:val="51B46B64"/>
    <w:rsid w:val="51EB2BAF"/>
    <w:rsid w:val="522240E7"/>
    <w:rsid w:val="526D3365"/>
    <w:rsid w:val="52C8252C"/>
    <w:rsid w:val="532078B5"/>
    <w:rsid w:val="53E010F9"/>
    <w:rsid w:val="53EE5957"/>
    <w:rsid w:val="5441433E"/>
    <w:rsid w:val="555740B3"/>
    <w:rsid w:val="556362AB"/>
    <w:rsid w:val="557D00DB"/>
    <w:rsid w:val="5658085B"/>
    <w:rsid w:val="56900E59"/>
    <w:rsid w:val="569679B4"/>
    <w:rsid w:val="57095016"/>
    <w:rsid w:val="57210B96"/>
    <w:rsid w:val="57590A0A"/>
    <w:rsid w:val="57A22090"/>
    <w:rsid w:val="57DA46DA"/>
    <w:rsid w:val="583416E0"/>
    <w:rsid w:val="58903579"/>
    <w:rsid w:val="58CA6B5A"/>
    <w:rsid w:val="58DA23B6"/>
    <w:rsid w:val="58E83718"/>
    <w:rsid w:val="591D53F8"/>
    <w:rsid w:val="5929214D"/>
    <w:rsid w:val="596158CE"/>
    <w:rsid w:val="59785CDA"/>
    <w:rsid w:val="59B57B9B"/>
    <w:rsid w:val="5A2D2F22"/>
    <w:rsid w:val="5A4B6E2A"/>
    <w:rsid w:val="5A5F0181"/>
    <w:rsid w:val="5A617F0E"/>
    <w:rsid w:val="5ABA5851"/>
    <w:rsid w:val="5AD41E55"/>
    <w:rsid w:val="5B153E45"/>
    <w:rsid w:val="5BA50F69"/>
    <w:rsid w:val="5C62349E"/>
    <w:rsid w:val="5CCC3FFF"/>
    <w:rsid w:val="5CE10BAD"/>
    <w:rsid w:val="5D75275C"/>
    <w:rsid w:val="5DA441D4"/>
    <w:rsid w:val="5E470C40"/>
    <w:rsid w:val="5E9E175A"/>
    <w:rsid w:val="5F3B5054"/>
    <w:rsid w:val="5F745504"/>
    <w:rsid w:val="5FA123FE"/>
    <w:rsid w:val="5FD55548"/>
    <w:rsid w:val="5FDB26EF"/>
    <w:rsid w:val="60181EC5"/>
    <w:rsid w:val="602F0E89"/>
    <w:rsid w:val="60601589"/>
    <w:rsid w:val="608C3208"/>
    <w:rsid w:val="60977239"/>
    <w:rsid w:val="60A67868"/>
    <w:rsid w:val="60CE4002"/>
    <w:rsid w:val="60E62E61"/>
    <w:rsid w:val="619164EB"/>
    <w:rsid w:val="61A2509F"/>
    <w:rsid w:val="61C6401C"/>
    <w:rsid w:val="61CD14AA"/>
    <w:rsid w:val="61D728C2"/>
    <w:rsid w:val="62AA697A"/>
    <w:rsid w:val="63B95FF3"/>
    <w:rsid w:val="63F40757"/>
    <w:rsid w:val="645D0B5E"/>
    <w:rsid w:val="658E75F5"/>
    <w:rsid w:val="66081A5E"/>
    <w:rsid w:val="66790D36"/>
    <w:rsid w:val="66E84531"/>
    <w:rsid w:val="671C4744"/>
    <w:rsid w:val="67325099"/>
    <w:rsid w:val="673E6CF2"/>
    <w:rsid w:val="67805B63"/>
    <w:rsid w:val="67C55E5C"/>
    <w:rsid w:val="68084682"/>
    <w:rsid w:val="68404807"/>
    <w:rsid w:val="68A854EA"/>
    <w:rsid w:val="68E14BE6"/>
    <w:rsid w:val="69E55F18"/>
    <w:rsid w:val="69F4798A"/>
    <w:rsid w:val="6AA800C8"/>
    <w:rsid w:val="6ADD38C8"/>
    <w:rsid w:val="6B0265AE"/>
    <w:rsid w:val="6B2E305F"/>
    <w:rsid w:val="6B707D19"/>
    <w:rsid w:val="6B712159"/>
    <w:rsid w:val="6B886005"/>
    <w:rsid w:val="6C047F59"/>
    <w:rsid w:val="6C231AA3"/>
    <w:rsid w:val="6C2C4776"/>
    <w:rsid w:val="6C4F75A3"/>
    <w:rsid w:val="6C550F4B"/>
    <w:rsid w:val="6C7553FD"/>
    <w:rsid w:val="6C995A0C"/>
    <w:rsid w:val="6CCE2622"/>
    <w:rsid w:val="6D385548"/>
    <w:rsid w:val="6DF70CC8"/>
    <w:rsid w:val="6E362503"/>
    <w:rsid w:val="6E3A0F28"/>
    <w:rsid w:val="6E3A2792"/>
    <w:rsid w:val="6E9604D5"/>
    <w:rsid w:val="6F65724F"/>
    <w:rsid w:val="6F781159"/>
    <w:rsid w:val="6FE32494"/>
    <w:rsid w:val="70724465"/>
    <w:rsid w:val="7089550E"/>
    <w:rsid w:val="70C46E30"/>
    <w:rsid w:val="70D95555"/>
    <w:rsid w:val="70DA6AD2"/>
    <w:rsid w:val="70F1280A"/>
    <w:rsid w:val="71097D76"/>
    <w:rsid w:val="71366BD2"/>
    <w:rsid w:val="71590F8B"/>
    <w:rsid w:val="716B452F"/>
    <w:rsid w:val="71947608"/>
    <w:rsid w:val="71B9499C"/>
    <w:rsid w:val="71D945B4"/>
    <w:rsid w:val="72353061"/>
    <w:rsid w:val="726806F2"/>
    <w:rsid w:val="72802721"/>
    <w:rsid w:val="73166A18"/>
    <w:rsid w:val="736327D1"/>
    <w:rsid w:val="74027BD7"/>
    <w:rsid w:val="74217207"/>
    <w:rsid w:val="74246C97"/>
    <w:rsid w:val="74363662"/>
    <w:rsid w:val="74651B85"/>
    <w:rsid w:val="74740AA6"/>
    <w:rsid w:val="74AF088E"/>
    <w:rsid w:val="74F678DB"/>
    <w:rsid w:val="75B92C8B"/>
    <w:rsid w:val="75D85632"/>
    <w:rsid w:val="75D8615A"/>
    <w:rsid w:val="75EB0557"/>
    <w:rsid w:val="762D56EE"/>
    <w:rsid w:val="764221C2"/>
    <w:rsid w:val="767C19B2"/>
    <w:rsid w:val="768A38BA"/>
    <w:rsid w:val="769E7BB3"/>
    <w:rsid w:val="76F70C9A"/>
    <w:rsid w:val="77192771"/>
    <w:rsid w:val="77266460"/>
    <w:rsid w:val="77295257"/>
    <w:rsid w:val="779D5D47"/>
    <w:rsid w:val="77C12FF0"/>
    <w:rsid w:val="77C32339"/>
    <w:rsid w:val="77FD3207"/>
    <w:rsid w:val="78246129"/>
    <w:rsid w:val="794B3FEA"/>
    <w:rsid w:val="79667B2F"/>
    <w:rsid w:val="7977533A"/>
    <w:rsid w:val="79802C67"/>
    <w:rsid w:val="798C7179"/>
    <w:rsid w:val="79E24940"/>
    <w:rsid w:val="7A107207"/>
    <w:rsid w:val="7A1F21BF"/>
    <w:rsid w:val="7BA049CB"/>
    <w:rsid w:val="7C5153F5"/>
    <w:rsid w:val="7CB553BC"/>
    <w:rsid w:val="7CDB11F2"/>
    <w:rsid w:val="7D230E0C"/>
    <w:rsid w:val="7D490061"/>
    <w:rsid w:val="7D6F6681"/>
    <w:rsid w:val="7DC07170"/>
    <w:rsid w:val="7E551DD8"/>
    <w:rsid w:val="7F681022"/>
    <w:rsid w:val="7F850C78"/>
    <w:rsid w:val="7FE2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39F4C3E-D850-4C71-95A8-A005A3C7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仿宋" w:hAnsiTheme="minorHAnsi"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Normal Indent"/>
    <w:basedOn w:val="a"/>
    <w:qFormat/>
    <w:pPr>
      <w:ind w:firstLineChars="200" w:firstLine="420"/>
    </w:pPr>
  </w:style>
  <w:style w:type="paragraph" w:styleId="a6">
    <w:name w:val="Body Text Indent"/>
    <w:basedOn w:val="a"/>
    <w:next w:val="a5"/>
    <w:uiPriority w:val="99"/>
    <w:unhideWhenUsed/>
    <w:qFormat/>
    <w:pPr>
      <w:spacing w:after="120"/>
      <w:ind w:leftChars="200" w:left="420"/>
    </w:p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paragraph" w:styleId="2">
    <w:name w:val="Body Text First Indent 2"/>
    <w:basedOn w:val="a6"/>
    <w:next w:val="a"/>
    <w:qFormat/>
    <w:pPr>
      <w:spacing w:after="0"/>
      <w:ind w:leftChars="0" w:left="0" w:firstLineChars="200" w:firstLine="420"/>
    </w:pPr>
    <w:rPr>
      <w:rFonts w:ascii="Calibri" w:eastAsia="仿宋_GB2312" w:hAnsi="Calibri" w:cs="Times New Roman"/>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Pr>
      <w:b/>
    </w:rPr>
  </w:style>
  <w:style w:type="character" w:styleId="ab">
    <w:name w:val="Hyperlink"/>
    <w:basedOn w:val="a1"/>
    <w:qFormat/>
    <w:rPr>
      <w:color w:val="0000FF"/>
      <w:u w:val="single"/>
    </w:rPr>
  </w:style>
  <w:style w:type="paragraph" w:customStyle="1" w:styleId="ac">
    <w:name w:val="段"/>
    <w:qFormat/>
    <w:pPr>
      <w:tabs>
        <w:tab w:val="center" w:pos="4201"/>
        <w:tab w:val="right" w:leader="dot" w:pos="9298"/>
      </w:tabs>
      <w:autoSpaceDE w:val="0"/>
      <w:autoSpaceDN w:val="0"/>
      <w:ind w:firstLineChars="200" w:firstLine="420"/>
      <w:jc w:val="both"/>
    </w:pPr>
    <w:rPr>
      <w:rFonts w:ascii="宋体" w:hAnsi="Calibri"/>
    </w:rPr>
  </w:style>
  <w:style w:type="paragraph" w:customStyle="1" w:styleId="ad">
    <w:name w:val="公文主体"/>
    <w:basedOn w:val="a"/>
    <w:qFormat/>
    <w:pPr>
      <w:spacing w:line="580" w:lineRule="exact"/>
      <w:ind w:firstLineChars="200" w:firstLine="200"/>
    </w:pPr>
  </w:style>
  <w:style w:type="paragraph" w:customStyle="1" w:styleId="ae">
    <w:name w:val="二级无"/>
    <w:basedOn w:val="af"/>
    <w:qFormat/>
    <w:rPr>
      <w:rFonts w:ascii="宋体" w:eastAsia="宋体"/>
    </w:rPr>
  </w:style>
  <w:style w:type="paragraph" w:customStyle="1" w:styleId="af">
    <w:name w:val="二级条标题"/>
    <w:basedOn w:val="af0"/>
    <w:next w:val="ac"/>
    <w:qFormat/>
    <w:pPr>
      <w:spacing w:beforeLines="0" w:afterLines="0"/>
      <w:outlineLvl w:val="3"/>
    </w:pPr>
    <w:rPr>
      <w:kern w:val="0"/>
      <w:sz w:val="20"/>
      <w:szCs w:val="20"/>
    </w:rPr>
  </w:style>
  <w:style w:type="paragraph" w:customStyle="1" w:styleId="af0">
    <w:name w:val="一级条标题"/>
    <w:next w:val="ac"/>
    <w:qFormat/>
    <w:pPr>
      <w:spacing w:beforeLines="50" w:afterLines="50"/>
      <w:outlineLvl w:val="2"/>
    </w:pPr>
    <w:rPr>
      <w:rFonts w:ascii="黑体" w:eastAsia="黑体" w:hAnsi="Calibri"/>
      <w:kern w:val="2"/>
      <w:sz w:val="21"/>
      <w:szCs w:val="21"/>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5812</Characters>
  <Application>Microsoft Office Word</Application>
  <DocSecurity>0</DocSecurity>
  <Lines>48</Lines>
  <Paragraphs>13</Paragraphs>
  <ScaleCrop>false</ScaleCrop>
  <Company>MS</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关于开展煤矿双重预防机制暨安全生产标准化管理体系示范企业建设的通知</dc:title>
  <dc:creator>lenovo</dc:creator>
  <cp:lastModifiedBy>USER-</cp:lastModifiedBy>
  <cp:revision>2</cp:revision>
  <cp:lastPrinted>2022-03-25T10:20:00Z</cp:lastPrinted>
  <dcterms:created xsi:type="dcterms:W3CDTF">2022-03-28T10:14:00Z</dcterms:created>
  <dcterms:modified xsi:type="dcterms:W3CDTF">2022-03-28T10:14:00Z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DB2C451A182B4DFB81D2613EDA47DD9C</vt:lpwstr>
  </property>
</Properties>
</file>