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B0" w:rsidRDefault="007E6AB0" w:rsidP="007E6AB0">
      <w:pPr>
        <w:pStyle w:val="a5"/>
        <w:spacing w:line="600" w:lineRule="exact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7E6AB0" w:rsidRDefault="007E6AB0" w:rsidP="007E6AB0">
      <w:pPr>
        <w:pStyle w:val="a5"/>
        <w:spacing w:line="2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7E6AB0" w:rsidRDefault="007E6AB0" w:rsidP="007E6AB0">
      <w:pPr>
        <w:pStyle w:val="a5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全省安全生产领域“一查了之”突出问题专项整治</w:t>
      </w:r>
    </w:p>
    <w:p w:rsidR="007E6AB0" w:rsidRDefault="007E6AB0" w:rsidP="007E6AB0">
      <w:pPr>
        <w:pStyle w:val="a5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任务清单及工作进展情况统计表</w:t>
      </w:r>
    </w:p>
    <w:bookmarkEnd w:id="0"/>
    <w:p w:rsidR="007E6AB0" w:rsidRDefault="007E6AB0" w:rsidP="007E6AB0">
      <w:pPr>
        <w:pStyle w:val="a5"/>
        <w:spacing w:line="320" w:lineRule="exact"/>
        <w:rPr>
          <w:rFonts w:ascii="仿宋" w:hAnsi="仿宋" w:cs="仿宋"/>
          <w:color w:val="000000"/>
          <w:sz w:val="32"/>
          <w:szCs w:val="32"/>
        </w:rPr>
      </w:pPr>
    </w:p>
    <w:tbl>
      <w:tblPr>
        <w:tblStyle w:val="a6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2"/>
        <w:gridCol w:w="2868"/>
        <w:gridCol w:w="5746"/>
        <w:gridCol w:w="1436"/>
        <w:gridCol w:w="1443"/>
        <w:gridCol w:w="2036"/>
      </w:tblGrid>
      <w:tr w:rsidR="007E6AB0" w:rsidTr="00E275BF">
        <w:trPr>
          <w:trHeight w:val="846"/>
          <w:jc w:val="center"/>
        </w:trPr>
        <w:tc>
          <w:tcPr>
            <w:tcW w:w="412" w:type="dxa"/>
            <w:vAlign w:val="center"/>
          </w:tcPr>
          <w:p w:rsidR="007E6AB0" w:rsidRDefault="007E6AB0" w:rsidP="00E275BF">
            <w:pPr>
              <w:pStyle w:val="a5"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868" w:type="dxa"/>
            <w:vAlign w:val="center"/>
          </w:tcPr>
          <w:p w:rsidR="007E6AB0" w:rsidRDefault="007E6AB0" w:rsidP="00E275BF">
            <w:pPr>
              <w:pStyle w:val="a5"/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整治内容</w:t>
            </w:r>
          </w:p>
        </w:tc>
        <w:tc>
          <w:tcPr>
            <w:tcW w:w="5746" w:type="dxa"/>
            <w:vAlign w:val="center"/>
          </w:tcPr>
          <w:p w:rsidR="007E6AB0" w:rsidRDefault="007E6AB0" w:rsidP="00E275BF">
            <w:pPr>
              <w:pStyle w:val="a5"/>
              <w:spacing w:line="3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整治措施</w:t>
            </w:r>
          </w:p>
        </w:tc>
        <w:tc>
          <w:tcPr>
            <w:tcW w:w="1436" w:type="dxa"/>
            <w:vAlign w:val="center"/>
          </w:tcPr>
          <w:p w:rsidR="007E6AB0" w:rsidRDefault="007E6AB0" w:rsidP="00E275BF">
            <w:pPr>
              <w:pStyle w:val="a5"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责任单位</w:t>
            </w:r>
          </w:p>
        </w:tc>
        <w:tc>
          <w:tcPr>
            <w:tcW w:w="1443" w:type="dxa"/>
            <w:vAlign w:val="center"/>
          </w:tcPr>
          <w:p w:rsidR="007E6AB0" w:rsidRDefault="007E6AB0" w:rsidP="00E275BF">
            <w:pPr>
              <w:ind w:firstLineChars="100" w:firstLine="280"/>
              <w:rPr>
                <w:rFonts w:hint="eastAsia"/>
                <w:color w:val="000000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责任人</w:t>
            </w:r>
          </w:p>
        </w:tc>
        <w:tc>
          <w:tcPr>
            <w:tcW w:w="2036" w:type="dxa"/>
            <w:vAlign w:val="center"/>
          </w:tcPr>
          <w:p w:rsidR="007E6AB0" w:rsidRDefault="007E6AB0" w:rsidP="00E275BF">
            <w:pPr>
              <w:pStyle w:val="a5"/>
              <w:spacing w:line="300" w:lineRule="exact"/>
              <w:jc w:val="center"/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进展情况</w:t>
            </w:r>
          </w:p>
        </w:tc>
      </w:tr>
      <w:tr w:rsidR="007E6AB0" w:rsidTr="00E275BF">
        <w:trPr>
          <w:trHeight w:val="1998"/>
          <w:jc w:val="center"/>
        </w:trPr>
        <w:tc>
          <w:tcPr>
            <w:tcW w:w="412" w:type="dxa"/>
            <w:vAlign w:val="center"/>
          </w:tcPr>
          <w:p w:rsidR="007E6AB0" w:rsidRDefault="007E6AB0" w:rsidP="00E275BF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8" w:type="dxa"/>
            <w:vAlign w:val="center"/>
          </w:tcPr>
          <w:p w:rsidR="007E6AB0" w:rsidRDefault="007E6AB0" w:rsidP="00E275BF">
            <w:pPr>
              <w:pStyle w:val="a0"/>
              <w:adjustRightInd w:val="0"/>
              <w:snapToGrid w:val="0"/>
              <w:spacing w:line="360" w:lineRule="exact"/>
              <w:jc w:val="left"/>
              <w:rPr>
                <w:rFonts w:ascii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val="en-US"/>
              </w:rPr>
              <w:t>安全检查、隐患排查治理不认真不细致，走马观花、蜻蜓点水。</w:t>
            </w:r>
          </w:p>
        </w:tc>
        <w:tc>
          <w:tcPr>
            <w:tcW w:w="5746" w:type="dxa"/>
            <w:vAlign w:val="center"/>
          </w:tcPr>
          <w:p w:rsidR="007E6AB0" w:rsidRDefault="007E6AB0" w:rsidP="00E275BF">
            <w:pPr>
              <w:pStyle w:val="a5"/>
              <w:adjustRightInd w:val="0"/>
              <w:spacing w:line="36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2"/>
                <w:sz w:val="24"/>
                <w:szCs w:val="24"/>
              </w:rPr>
              <w:t>规范制定检查方案。检查前，要按照依据准确、结合实际、突出重点的原则，综合分析被检查单位生产经营性质、重点场所部位、重点工艺环节、重点设施设备等因素，有针对性的制定检查工作方案，并落实检查组组长负责制，方案经组长审核批准后实施。</w:t>
            </w:r>
          </w:p>
        </w:tc>
        <w:tc>
          <w:tcPr>
            <w:tcW w:w="1436" w:type="dxa"/>
            <w:vAlign w:val="center"/>
          </w:tcPr>
          <w:p w:rsidR="007E6AB0" w:rsidRDefault="007E6AB0" w:rsidP="00E275BF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7E6AB0" w:rsidRDefault="007E6AB0" w:rsidP="00E275BF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7E6AB0" w:rsidRDefault="007E6AB0" w:rsidP="00E275BF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7E6AB0" w:rsidTr="00E275BF">
        <w:trPr>
          <w:trHeight w:val="2990"/>
          <w:jc w:val="center"/>
        </w:trPr>
        <w:tc>
          <w:tcPr>
            <w:tcW w:w="412" w:type="dxa"/>
            <w:vAlign w:val="center"/>
          </w:tcPr>
          <w:p w:rsidR="007E6AB0" w:rsidRDefault="007E6AB0" w:rsidP="00E275BF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8" w:type="dxa"/>
            <w:vAlign w:val="center"/>
          </w:tcPr>
          <w:p w:rsidR="007E6AB0" w:rsidRDefault="007E6AB0" w:rsidP="00E275BF">
            <w:pPr>
              <w:pStyle w:val="a0"/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val="en-US"/>
              </w:rPr>
              <w:t>安全检查以“查过了、查到了”为原则，敷衍应付，“一查了之”，查而不改、查而不究。</w:t>
            </w:r>
          </w:p>
        </w:tc>
        <w:tc>
          <w:tcPr>
            <w:tcW w:w="5746" w:type="dxa"/>
            <w:vAlign w:val="center"/>
          </w:tcPr>
          <w:p w:rsidR="007E6AB0" w:rsidRDefault="007E6AB0" w:rsidP="00E275BF">
            <w:pPr>
              <w:pStyle w:val="a5"/>
              <w:adjustRightInd w:val="0"/>
              <w:spacing w:line="36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2"/>
                <w:sz w:val="24"/>
                <w:szCs w:val="24"/>
              </w:rPr>
              <w:t>依法处置现场问题。针对检查过程中发现的问题，根据实际情况向被查单位下发《现场检查记录》、《现场处理措施决定书》或者《责令限期整改指令书》等相关执法文书，对生产经营单位或者有关人员违法行为依法处罚。对不能保障安全生产的设施、设备、器材以及违法生产、储存、使用、经营、运输的危险品予以查封或者扣押，必要时同步采取停止供电、供应民用爆炸物品等措施，涉及其他部门的及时移送处置。</w:t>
            </w:r>
          </w:p>
        </w:tc>
        <w:tc>
          <w:tcPr>
            <w:tcW w:w="1436" w:type="dxa"/>
            <w:vAlign w:val="center"/>
          </w:tcPr>
          <w:p w:rsidR="007E6AB0" w:rsidRDefault="007E6AB0" w:rsidP="00E275BF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7E6AB0" w:rsidRDefault="007E6AB0" w:rsidP="00E275BF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7E6AB0" w:rsidRDefault="007E6AB0" w:rsidP="00E275BF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7E6AB0" w:rsidTr="00E275BF">
        <w:trPr>
          <w:trHeight w:val="2637"/>
          <w:jc w:val="center"/>
        </w:trPr>
        <w:tc>
          <w:tcPr>
            <w:tcW w:w="412" w:type="dxa"/>
            <w:vAlign w:val="center"/>
          </w:tcPr>
          <w:p w:rsidR="007E6AB0" w:rsidRDefault="007E6AB0" w:rsidP="00E275BF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8" w:type="dxa"/>
            <w:vAlign w:val="center"/>
          </w:tcPr>
          <w:p w:rsidR="007E6AB0" w:rsidRDefault="007E6AB0" w:rsidP="00E275BF">
            <w:pPr>
              <w:pStyle w:val="a0"/>
              <w:adjustRightInd w:val="0"/>
              <w:snapToGrid w:val="0"/>
              <w:spacing w:line="360" w:lineRule="exact"/>
              <w:jc w:val="left"/>
              <w:rPr>
                <w:rFonts w:ascii="仿宋" w:hAnsi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val="en-US"/>
              </w:rPr>
              <w:t>安全检查查不出问题，甚至遇到问题绕着走，不敢动真碰硬，对发现的重大隐患问题督促整改不力。</w:t>
            </w:r>
          </w:p>
        </w:tc>
        <w:tc>
          <w:tcPr>
            <w:tcW w:w="5746" w:type="dxa"/>
            <w:vAlign w:val="center"/>
          </w:tcPr>
          <w:p w:rsidR="007E6AB0" w:rsidRDefault="007E6AB0" w:rsidP="00E275BF">
            <w:pPr>
              <w:pStyle w:val="a5"/>
              <w:adjustRightInd w:val="0"/>
              <w:spacing w:line="360" w:lineRule="exact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2"/>
                <w:sz w:val="24"/>
                <w:szCs w:val="24"/>
              </w:rPr>
              <w:t>落实隐患闭环管理。针对检查发现的问题要建立问题隐患清单台账，督促责任单位能立即整改的，要立即整改，不能立即整改的，落实整改责任、措施、资金、时限和预案，限期整改；省、市、县要分级实施隐患挂牌督办，并加强整改落实情况复查验收，整改完成并验收合格的及时销号，未按期完成整改的要落实延期手续，跟踪督办，直至问题彻底解决。</w:t>
            </w:r>
          </w:p>
        </w:tc>
        <w:tc>
          <w:tcPr>
            <w:tcW w:w="1436" w:type="dxa"/>
            <w:vAlign w:val="center"/>
          </w:tcPr>
          <w:p w:rsidR="007E6AB0" w:rsidRDefault="007E6AB0" w:rsidP="00E275BF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7E6AB0" w:rsidRDefault="007E6AB0" w:rsidP="00E275BF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7E6AB0" w:rsidRDefault="007E6AB0" w:rsidP="00E275BF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7E6AB0" w:rsidTr="00E275BF">
        <w:trPr>
          <w:trHeight w:val="2535"/>
          <w:jc w:val="center"/>
        </w:trPr>
        <w:tc>
          <w:tcPr>
            <w:tcW w:w="412" w:type="dxa"/>
            <w:vAlign w:val="center"/>
          </w:tcPr>
          <w:p w:rsidR="007E6AB0" w:rsidRDefault="007E6AB0" w:rsidP="00E275BF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8" w:type="dxa"/>
            <w:vAlign w:val="center"/>
          </w:tcPr>
          <w:p w:rsidR="007E6AB0" w:rsidRDefault="007E6AB0" w:rsidP="00E275BF">
            <w:pPr>
              <w:pStyle w:val="a0"/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kern w:val="2"/>
                <w:sz w:val="24"/>
                <w:szCs w:val="24"/>
                <w:lang w:val="en-US"/>
              </w:rPr>
              <w:t>安全检查跑面多、蹲点少，深入实际调查研究解剖麻雀不够。</w:t>
            </w:r>
          </w:p>
          <w:p w:rsidR="007E6AB0" w:rsidRDefault="007E6AB0" w:rsidP="00E275BF">
            <w:pPr>
              <w:pStyle w:val="a5"/>
              <w:adjustRightInd w:val="0"/>
              <w:spacing w:line="360" w:lineRule="exact"/>
              <w:jc w:val="both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5746" w:type="dxa"/>
            <w:vAlign w:val="center"/>
          </w:tcPr>
          <w:p w:rsidR="007E6AB0" w:rsidRDefault="007E6AB0" w:rsidP="00E275BF">
            <w:pPr>
              <w:pStyle w:val="a5"/>
              <w:adjustRightInd w:val="0"/>
              <w:spacing w:line="360" w:lineRule="exact"/>
              <w:jc w:val="both"/>
              <w:rPr>
                <w:rFonts w:ascii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 w:hint="eastAsia"/>
                <w:color w:val="000000"/>
                <w:kern w:val="2"/>
                <w:sz w:val="24"/>
                <w:szCs w:val="24"/>
              </w:rPr>
              <w:t>强化安全指导服务。及时梳理分析检查情况，对发现的问题隐患，深入剖析深层次原因和根源，提出指导性措施建议，帮助企业解决企业“意识不到、发现不了”的安全生产问题。同时，落实检查结果报告制度，将检查情况及时向派出单位报告。</w:t>
            </w:r>
          </w:p>
        </w:tc>
        <w:tc>
          <w:tcPr>
            <w:tcW w:w="1436" w:type="dxa"/>
            <w:vAlign w:val="center"/>
          </w:tcPr>
          <w:p w:rsidR="007E6AB0" w:rsidRDefault="007E6AB0" w:rsidP="00E275BF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7E6AB0" w:rsidRDefault="007E6AB0" w:rsidP="00E275BF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7E6AB0" w:rsidRDefault="007E6AB0" w:rsidP="00E275BF">
            <w:pPr>
              <w:pStyle w:val="a5"/>
              <w:spacing w:line="280" w:lineRule="exact"/>
              <w:jc w:val="center"/>
              <w:rPr>
                <w:rFonts w:ascii="仿宋" w:hAnsi="仿宋" w:cs="仿宋"/>
                <w:color w:val="000000"/>
                <w:sz w:val="24"/>
                <w:szCs w:val="24"/>
              </w:rPr>
            </w:pPr>
          </w:p>
        </w:tc>
      </w:tr>
      <w:tr w:rsidR="007E6AB0" w:rsidTr="00E275BF">
        <w:trPr>
          <w:trHeight w:val="997"/>
          <w:jc w:val="center"/>
        </w:trPr>
        <w:tc>
          <w:tcPr>
            <w:tcW w:w="412" w:type="dxa"/>
            <w:vAlign w:val="center"/>
          </w:tcPr>
          <w:p w:rsidR="007E6AB0" w:rsidRDefault="007E6AB0" w:rsidP="00E275BF">
            <w:pPr>
              <w:pStyle w:val="a5"/>
              <w:spacing w:line="280" w:lineRule="exact"/>
              <w:jc w:val="center"/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13529" w:type="dxa"/>
            <w:gridSpan w:val="5"/>
            <w:vAlign w:val="center"/>
          </w:tcPr>
          <w:p w:rsidR="007E6AB0" w:rsidRDefault="007E6AB0" w:rsidP="00E275BF">
            <w:pPr>
              <w:pStyle w:val="a5"/>
              <w:spacing w:line="280" w:lineRule="exact"/>
              <w:jc w:val="both"/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1.“责任人”为负责完成每一项任务的领导。</w:t>
            </w:r>
          </w:p>
          <w:p w:rsidR="007E6AB0" w:rsidRDefault="007E6AB0" w:rsidP="00E275BF">
            <w:pPr>
              <w:pStyle w:val="a5"/>
              <w:spacing w:line="280" w:lineRule="exact"/>
              <w:jc w:val="both"/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  <w:szCs w:val="24"/>
              </w:rPr>
              <w:t>2.“进展情况”于每月15日前报省应急安全生产行业指导处。</w:t>
            </w:r>
          </w:p>
        </w:tc>
      </w:tr>
    </w:tbl>
    <w:p w:rsidR="007E6AB0" w:rsidRDefault="007E6AB0" w:rsidP="007E6AB0">
      <w:pPr>
        <w:pStyle w:val="a5"/>
        <w:spacing w:line="20" w:lineRule="exact"/>
        <w:jc w:val="both"/>
        <w:rPr>
          <w:rFonts w:ascii="仿宋" w:hAnsi="仿宋" w:cs="仿宋"/>
          <w:color w:val="000000"/>
          <w:sz w:val="24"/>
          <w:szCs w:val="24"/>
        </w:rPr>
      </w:pPr>
    </w:p>
    <w:p w:rsidR="007E6AB0" w:rsidRDefault="007E6AB0" w:rsidP="007E6AB0">
      <w:pPr>
        <w:pStyle w:val="a5"/>
        <w:spacing w:line="20" w:lineRule="exact"/>
        <w:jc w:val="both"/>
        <w:rPr>
          <w:rFonts w:ascii="仿宋" w:hAnsi="仿宋" w:cs="仿宋"/>
          <w:color w:val="000000"/>
          <w:sz w:val="24"/>
          <w:szCs w:val="24"/>
        </w:rPr>
      </w:pPr>
    </w:p>
    <w:p w:rsidR="007E6AB0" w:rsidRDefault="007E6AB0" w:rsidP="007E6AB0">
      <w:pPr>
        <w:pStyle w:val="a5"/>
        <w:spacing w:line="20" w:lineRule="exact"/>
        <w:jc w:val="both"/>
        <w:rPr>
          <w:rFonts w:ascii="仿宋" w:hAnsi="仿宋" w:cs="仿宋"/>
          <w:color w:val="000000"/>
          <w:sz w:val="24"/>
          <w:szCs w:val="24"/>
        </w:rPr>
      </w:pPr>
    </w:p>
    <w:p w:rsidR="007E6AB0" w:rsidRDefault="007E6AB0" w:rsidP="007E6AB0">
      <w:pPr>
        <w:pStyle w:val="a5"/>
        <w:spacing w:line="20" w:lineRule="exact"/>
        <w:jc w:val="both"/>
        <w:rPr>
          <w:rFonts w:ascii="仿宋" w:hAnsi="仿宋" w:cs="仿宋"/>
          <w:color w:val="000000"/>
          <w:sz w:val="24"/>
          <w:szCs w:val="24"/>
        </w:rPr>
      </w:pPr>
    </w:p>
    <w:p w:rsidR="007E6AB0" w:rsidRDefault="007E6AB0" w:rsidP="007E6AB0">
      <w:pPr>
        <w:pStyle w:val="a5"/>
        <w:spacing w:line="20" w:lineRule="exact"/>
        <w:jc w:val="both"/>
        <w:rPr>
          <w:rFonts w:ascii="仿宋" w:hAnsi="仿宋" w:cs="仿宋"/>
          <w:color w:val="000000"/>
          <w:sz w:val="24"/>
          <w:szCs w:val="24"/>
        </w:rPr>
      </w:pPr>
    </w:p>
    <w:p w:rsidR="007E6AB0" w:rsidRDefault="007E6AB0" w:rsidP="007E6AB0">
      <w:pPr>
        <w:pStyle w:val="a5"/>
        <w:spacing w:line="20" w:lineRule="exact"/>
        <w:jc w:val="both"/>
        <w:rPr>
          <w:rFonts w:ascii="仿宋" w:hAnsi="仿宋" w:cs="仿宋"/>
          <w:color w:val="000000"/>
          <w:sz w:val="24"/>
          <w:szCs w:val="24"/>
        </w:rPr>
      </w:pPr>
    </w:p>
    <w:p w:rsidR="007E6AB0" w:rsidRDefault="007E6AB0" w:rsidP="007E6AB0">
      <w:pPr>
        <w:pStyle w:val="a5"/>
        <w:spacing w:line="20" w:lineRule="exact"/>
        <w:jc w:val="both"/>
        <w:rPr>
          <w:rFonts w:ascii="仿宋" w:hAnsi="仿宋" w:cs="仿宋"/>
          <w:color w:val="000000"/>
          <w:sz w:val="24"/>
          <w:szCs w:val="24"/>
        </w:rPr>
      </w:pPr>
    </w:p>
    <w:p w:rsidR="007E6AB0" w:rsidRDefault="007E6AB0" w:rsidP="007E6AB0">
      <w:pPr>
        <w:pStyle w:val="a5"/>
        <w:spacing w:line="20" w:lineRule="exact"/>
        <w:jc w:val="both"/>
        <w:rPr>
          <w:rFonts w:ascii="仿宋" w:hAnsi="仿宋" w:cs="仿宋"/>
          <w:color w:val="000000"/>
          <w:sz w:val="24"/>
          <w:szCs w:val="24"/>
        </w:rPr>
      </w:pPr>
    </w:p>
    <w:p w:rsidR="007E6AB0" w:rsidRDefault="007E6AB0" w:rsidP="007E6AB0">
      <w:pPr>
        <w:pStyle w:val="a5"/>
        <w:spacing w:line="20" w:lineRule="exact"/>
        <w:jc w:val="both"/>
        <w:rPr>
          <w:rFonts w:ascii="仿宋" w:hAnsi="仿宋" w:cs="仿宋"/>
          <w:color w:val="000000"/>
          <w:sz w:val="24"/>
          <w:szCs w:val="24"/>
        </w:rPr>
      </w:pPr>
    </w:p>
    <w:p w:rsidR="007E6AB0" w:rsidRDefault="007E6AB0" w:rsidP="007E6AB0">
      <w:pPr>
        <w:pStyle w:val="a5"/>
        <w:spacing w:line="20" w:lineRule="exact"/>
        <w:jc w:val="both"/>
        <w:rPr>
          <w:rFonts w:ascii="仿宋" w:hAnsi="仿宋" w:cs="仿宋"/>
          <w:color w:val="000000"/>
          <w:sz w:val="24"/>
          <w:szCs w:val="24"/>
        </w:rPr>
      </w:pPr>
    </w:p>
    <w:p w:rsidR="007E6AB0" w:rsidRDefault="007E6AB0" w:rsidP="007E6AB0">
      <w:pPr>
        <w:pStyle w:val="a5"/>
        <w:spacing w:line="20" w:lineRule="exact"/>
        <w:jc w:val="both"/>
        <w:rPr>
          <w:rFonts w:ascii="仿宋" w:hAnsi="仿宋" w:cs="仿宋"/>
          <w:color w:val="000000"/>
          <w:sz w:val="24"/>
          <w:szCs w:val="24"/>
        </w:rPr>
      </w:pPr>
    </w:p>
    <w:p w:rsidR="007E6AB0" w:rsidRDefault="007E6AB0" w:rsidP="007E6AB0">
      <w:pPr>
        <w:pStyle w:val="a5"/>
        <w:spacing w:line="20" w:lineRule="exact"/>
        <w:jc w:val="both"/>
        <w:rPr>
          <w:rFonts w:ascii="仿宋" w:hAnsi="仿宋" w:cs="仿宋"/>
          <w:color w:val="000000"/>
          <w:sz w:val="24"/>
          <w:szCs w:val="24"/>
        </w:rPr>
      </w:pPr>
    </w:p>
    <w:p w:rsidR="007E6AB0" w:rsidRDefault="007E6AB0" w:rsidP="007E6AB0">
      <w:pPr>
        <w:pStyle w:val="a5"/>
        <w:spacing w:line="20" w:lineRule="exact"/>
        <w:jc w:val="both"/>
        <w:rPr>
          <w:rFonts w:ascii="仿宋" w:hAnsi="仿宋" w:cs="仿宋"/>
          <w:color w:val="000000"/>
          <w:sz w:val="24"/>
          <w:szCs w:val="24"/>
        </w:rPr>
      </w:pPr>
    </w:p>
    <w:p w:rsidR="007E6AB0" w:rsidRDefault="007E6AB0" w:rsidP="007E6AB0">
      <w:pPr>
        <w:pStyle w:val="a5"/>
        <w:spacing w:line="20" w:lineRule="exact"/>
        <w:jc w:val="both"/>
        <w:rPr>
          <w:rFonts w:ascii="仿宋" w:hAnsi="仿宋" w:cs="仿宋"/>
          <w:color w:val="000000"/>
          <w:sz w:val="24"/>
          <w:szCs w:val="24"/>
        </w:rPr>
      </w:pPr>
    </w:p>
    <w:p w:rsidR="007E6AB0" w:rsidRDefault="007E6AB0" w:rsidP="007E6AB0">
      <w:pPr>
        <w:pStyle w:val="a5"/>
        <w:spacing w:line="20" w:lineRule="exact"/>
        <w:jc w:val="both"/>
        <w:rPr>
          <w:rFonts w:ascii="仿宋" w:hAnsi="仿宋" w:cs="仿宋"/>
          <w:color w:val="000000"/>
          <w:sz w:val="24"/>
          <w:szCs w:val="24"/>
        </w:rPr>
      </w:pPr>
    </w:p>
    <w:p w:rsidR="007E6AB0" w:rsidRDefault="007E6AB0" w:rsidP="007E6AB0">
      <w:pPr>
        <w:pStyle w:val="a5"/>
        <w:spacing w:line="20" w:lineRule="exact"/>
        <w:jc w:val="both"/>
        <w:rPr>
          <w:rFonts w:ascii="仿宋" w:hAnsi="仿宋" w:cs="仿宋"/>
          <w:color w:val="000000"/>
          <w:sz w:val="24"/>
          <w:szCs w:val="24"/>
        </w:rPr>
      </w:pPr>
    </w:p>
    <w:p w:rsidR="007E6AB0" w:rsidRDefault="007E6AB0" w:rsidP="007E6AB0">
      <w:pPr>
        <w:pStyle w:val="a5"/>
        <w:spacing w:line="20" w:lineRule="exact"/>
        <w:jc w:val="both"/>
        <w:rPr>
          <w:rFonts w:ascii="仿宋" w:hAnsi="仿宋" w:cs="仿宋"/>
          <w:color w:val="000000"/>
          <w:sz w:val="24"/>
          <w:szCs w:val="24"/>
        </w:rPr>
      </w:pPr>
    </w:p>
    <w:p w:rsidR="007E6AB0" w:rsidRDefault="007E6AB0" w:rsidP="007E6AB0">
      <w:pPr>
        <w:pStyle w:val="a5"/>
        <w:spacing w:line="20" w:lineRule="exact"/>
        <w:jc w:val="both"/>
        <w:rPr>
          <w:rFonts w:ascii="仿宋" w:hAnsi="仿宋" w:cs="仿宋"/>
          <w:color w:val="000000"/>
          <w:sz w:val="24"/>
          <w:szCs w:val="24"/>
        </w:rPr>
      </w:pPr>
    </w:p>
    <w:p w:rsidR="007E6AB0" w:rsidRDefault="007E6AB0" w:rsidP="007E6AB0">
      <w:pPr>
        <w:pStyle w:val="a5"/>
        <w:spacing w:line="20" w:lineRule="exact"/>
        <w:jc w:val="both"/>
        <w:rPr>
          <w:rFonts w:ascii="仿宋" w:hAnsi="仿宋" w:cs="仿宋"/>
          <w:color w:val="000000"/>
          <w:sz w:val="24"/>
          <w:szCs w:val="24"/>
        </w:rPr>
      </w:pPr>
    </w:p>
    <w:p w:rsidR="007E6AB0" w:rsidRDefault="007E6AB0" w:rsidP="007E6AB0">
      <w:pPr>
        <w:pStyle w:val="a5"/>
        <w:spacing w:line="20" w:lineRule="exact"/>
        <w:jc w:val="both"/>
        <w:rPr>
          <w:rFonts w:ascii="仿宋" w:hAnsi="仿宋" w:cs="仿宋"/>
          <w:color w:val="000000"/>
          <w:sz w:val="24"/>
          <w:szCs w:val="24"/>
        </w:rPr>
      </w:pPr>
    </w:p>
    <w:p w:rsidR="007E6AB0" w:rsidRDefault="007E6AB0" w:rsidP="007E6AB0">
      <w:pPr>
        <w:tabs>
          <w:tab w:val="left" w:pos="8190"/>
        </w:tabs>
        <w:spacing w:line="560" w:lineRule="exact"/>
        <w:ind w:rightChars="-35" w:right="-112"/>
        <w:rPr>
          <w:rFonts w:ascii="黑体" w:eastAsia="黑体" w:hAnsi="黑体" w:cs="黑体" w:hint="eastAsia"/>
          <w:color w:val="000000"/>
          <w:kern w:val="0"/>
          <w:szCs w:val="32"/>
        </w:rPr>
      </w:pPr>
    </w:p>
    <w:p w:rsidR="009E417D" w:rsidRPr="007E6AB0" w:rsidRDefault="009E417D"/>
    <w:sectPr w:rsidR="009E417D" w:rsidRPr="007E6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CAA" w:rsidRDefault="00525CAA" w:rsidP="007E6AB0">
      <w:r>
        <w:separator/>
      </w:r>
    </w:p>
  </w:endnote>
  <w:endnote w:type="continuationSeparator" w:id="0">
    <w:p w:rsidR="00525CAA" w:rsidRDefault="00525CAA" w:rsidP="007E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CAA" w:rsidRDefault="00525CAA" w:rsidP="007E6AB0">
      <w:r>
        <w:separator/>
      </w:r>
    </w:p>
  </w:footnote>
  <w:footnote w:type="continuationSeparator" w:id="0">
    <w:p w:rsidR="00525CAA" w:rsidRDefault="00525CAA" w:rsidP="007E6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58"/>
    <w:rsid w:val="00003D33"/>
    <w:rsid w:val="000137CB"/>
    <w:rsid w:val="001D2BA5"/>
    <w:rsid w:val="001E237D"/>
    <w:rsid w:val="002161D3"/>
    <w:rsid w:val="00253A80"/>
    <w:rsid w:val="00276B72"/>
    <w:rsid w:val="002D2A94"/>
    <w:rsid w:val="002F20D6"/>
    <w:rsid w:val="002F6223"/>
    <w:rsid w:val="0031051C"/>
    <w:rsid w:val="00381B1B"/>
    <w:rsid w:val="004754F5"/>
    <w:rsid w:val="00484F39"/>
    <w:rsid w:val="005252CC"/>
    <w:rsid w:val="00525CAA"/>
    <w:rsid w:val="00603E3F"/>
    <w:rsid w:val="00626E9A"/>
    <w:rsid w:val="006863EC"/>
    <w:rsid w:val="006D67F6"/>
    <w:rsid w:val="007E6AB0"/>
    <w:rsid w:val="00825555"/>
    <w:rsid w:val="00833F14"/>
    <w:rsid w:val="00846B0D"/>
    <w:rsid w:val="00897551"/>
    <w:rsid w:val="0093332B"/>
    <w:rsid w:val="00983C0C"/>
    <w:rsid w:val="009E417D"/>
    <w:rsid w:val="00A41D33"/>
    <w:rsid w:val="00A642EB"/>
    <w:rsid w:val="00A97EA1"/>
    <w:rsid w:val="00AC116C"/>
    <w:rsid w:val="00AE5796"/>
    <w:rsid w:val="00AF3FCF"/>
    <w:rsid w:val="00B77065"/>
    <w:rsid w:val="00BB3979"/>
    <w:rsid w:val="00C113BA"/>
    <w:rsid w:val="00D4638C"/>
    <w:rsid w:val="00DE1F58"/>
    <w:rsid w:val="00DF6683"/>
    <w:rsid w:val="00E2451D"/>
    <w:rsid w:val="00E27077"/>
    <w:rsid w:val="00E93F6B"/>
    <w:rsid w:val="00EB4F2D"/>
    <w:rsid w:val="00EF4082"/>
    <w:rsid w:val="00F12166"/>
    <w:rsid w:val="00F16B75"/>
    <w:rsid w:val="00F73065"/>
    <w:rsid w:val="00FB47FA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B9D76E-2190-43A1-8320-46D291B96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7E6AB0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7E6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7E6AB0"/>
    <w:rPr>
      <w:sz w:val="18"/>
      <w:szCs w:val="18"/>
    </w:rPr>
  </w:style>
  <w:style w:type="paragraph" w:styleId="a5">
    <w:name w:val="footer"/>
    <w:basedOn w:val="a"/>
    <w:link w:val="Char0"/>
    <w:unhideWhenUsed/>
    <w:qFormat/>
    <w:rsid w:val="007E6A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7E6AB0"/>
    <w:rPr>
      <w:sz w:val="18"/>
      <w:szCs w:val="18"/>
    </w:rPr>
  </w:style>
  <w:style w:type="paragraph" w:styleId="a0">
    <w:name w:val="Body Text"/>
    <w:basedOn w:val="a"/>
    <w:next w:val="a5"/>
    <w:link w:val="Char1"/>
    <w:uiPriority w:val="99"/>
    <w:qFormat/>
    <w:rsid w:val="007E6AB0"/>
    <w:rPr>
      <w:rFonts w:ascii="宋体" w:eastAsia="Times New Roman"/>
      <w:szCs w:val="20"/>
      <w:lang w:val="zh-CN"/>
    </w:rPr>
  </w:style>
  <w:style w:type="character" w:customStyle="1" w:styleId="Char1">
    <w:name w:val="正文文本 Char"/>
    <w:basedOn w:val="a1"/>
    <w:link w:val="a0"/>
    <w:uiPriority w:val="99"/>
    <w:rsid w:val="007E6AB0"/>
    <w:rPr>
      <w:rFonts w:ascii="宋体" w:eastAsia="Times New Roman" w:hAnsi="Calibri" w:cs="Times New Roman"/>
      <w:sz w:val="32"/>
      <w:szCs w:val="20"/>
      <w:lang w:val="zh-CN"/>
    </w:rPr>
  </w:style>
  <w:style w:type="table" w:styleId="a6">
    <w:name w:val="Table Grid"/>
    <w:basedOn w:val="a2"/>
    <w:qFormat/>
    <w:rsid w:val="007E6AB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MS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2022-05-06T09:30:00Z</dcterms:created>
  <dcterms:modified xsi:type="dcterms:W3CDTF">2022-05-06T09:30:00Z</dcterms:modified>
</cp:coreProperties>
</file>