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安全生产执法“一罚了之”突出问题专项整治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任务清单及工作进展情况统计表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仿宋" w:hAnsi="仿宋" w:cs="仿宋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620"/>
        <w:gridCol w:w="3975"/>
        <w:gridCol w:w="2793"/>
        <w:gridCol w:w="1620"/>
        <w:gridCol w:w="157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主要问题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整治内容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整治措施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黑体" w:hAnsi="黑体" w:eastAsia="黑体" w:cs="黑体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安全执法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“一罚了之”突出问题</w:t>
            </w:r>
          </w:p>
        </w:tc>
        <w:tc>
          <w:tcPr>
            <w:tcW w:w="39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法治意识不强问题。不想、不会、不敢执法，执法裁量不精准，只检查不处罚或以隐患整改代替处罚，法治理念树立的不牢。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执法规范性差问题。没有认真执行行政执法“三项制度”，事中事后安全监管不到位，不熟悉不掌握法律</w:t>
            </w: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法规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，执法行为程序不规范，使用法条不精准，发现问题以罚代管“一罚了之”，</w:t>
            </w:r>
            <w:r>
              <w:rPr>
                <w:rFonts w:hint="eastAsia" w:ascii="仿宋" w:hAnsi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执法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不完善、不闭环。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执法服务不到位问题。执法方式简单粗暴，态度生冷硬横，“三位一体”执法模式执行不到位，对企业普法教育未能及时跟上，执法服务意识不强，服务不到位。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488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13002" w:type="dxa"/>
            <w:gridSpan w:val="6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1.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“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整治措施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”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应针对每项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整治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内容制定，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每项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措施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应具体明确、可操作性强，能量化的尽量量化。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2.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“责任人”为负责完成每一项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任务的领导。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.“进展情况”于每月2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0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前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报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省应急厅安全执法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“一</w:t>
            </w:r>
            <w:r>
              <w:rPr>
                <w:rFonts w:hint="eastAsia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罚</w:t>
            </w:r>
            <w:r>
              <w:rPr>
                <w:rFonts w:hint="default" w:ascii="仿宋" w:hAnsi="仿宋" w:cs="仿宋"/>
                <w:color w:val="000000"/>
                <w:sz w:val="24"/>
                <w:szCs w:val="24"/>
                <w:u w:val="none"/>
                <w:vertAlign w:val="baseline"/>
                <w:lang w:val="en-US" w:eastAsia="zh-CN"/>
              </w:rPr>
              <w:t>了之”突出问题专项整治工作专班。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楷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2022-05-06T09:49:08Z</dcterms:created>
  <dc:creator>Administrator</dc:creator>
  <cp:lastModifiedBy>Administrator</cp:lastModifiedBy>
  <dcterms:modified xsi:type="dcterms:W3CDTF">2022-05-06T09:49:27Z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