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黑体" w:hAnsi="黑体" w:eastAsia="黑体"/>
          <w:color w:val="000000" w:themeColor="text1"/>
          <w:kern w:val="0"/>
          <w:szCs w:val="32"/>
          <w14:textFill>
            <w14:solidFill>
              <w14:schemeClr w14:val="tx1"/>
            </w14:solidFill>
          </w14:textFill>
        </w:rPr>
      </w:pPr>
      <w:r>
        <w:rPr>
          <w:rFonts w:ascii="黑体" w:hAnsi="黑体" w:eastAsia="黑体"/>
          <w:color w:val="000000" w:themeColor="text1"/>
          <w:kern w:val="0"/>
          <w:szCs w:val="32"/>
          <w14:textFill>
            <w14:solidFill>
              <w14:schemeClr w14:val="tx1"/>
            </w14:solidFill>
          </w14:textFill>
        </w:rPr>
        <w:t>附件</w:t>
      </w:r>
      <w:r>
        <w:rPr>
          <w:rFonts w:hint="eastAsia" w:ascii="黑体" w:hAnsi="黑体" w:eastAsia="黑体"/>
          <w:color w:val="000000" w:themeColor="text1"/>
          <w:kern w:val="0"/>
          <w:szCs w:val="32"/>
          <w14:textFill>
            <w14:solidFill>
              <w14:schemeClr w14:val="tx1"/>
            </w14:solidFill>
          </w14:textFill>
        </w:rPr>
        <w:t>3</w:t>
      </w:r>
    </w:p>
    <w:p>
      <w:pPr>
        <w:pStyle w:val="3"/>
        <w:spacing w:after="0" w:line="600" w:lineRule="exact"/>
        <w:rPr>
          <w:color w:val="000000" w:themeColor="text1"/>
          <w14:textFill>
            <w14:solidFill>
              <w14:schemeClr w14:val="tx1"/>
            </w14:solidFill>
          </w14:textFill>
        </w:rPr>
      </w:pPr>
    </w:p>
    <w:p>
      <w:pPr>
        <w:widowControl/>
        <w:spacing w:line="600" w:lineRule="exact"/>
        <w:jc w:val="center"/>
        <w:rPr>
          <w:rStyle w:val="6"/>
          <w:rFonts w:hint="default" w:ascii="方正小标宋简体" w:hAnsi="方正小标宋简体" w:eastAsia="方正小标宋简体" w:cs="方正小标宋简体"/>
          <w:bCs/>
          <w:color w:val="000000" w:themeColor="text1"/>
          <w:sz w:val="44"/>
          <w:szCs w:val="44"/>
          <w14:textFill>
            <w14:solidFill>
              <w14:schemeClr w14:val="tx1"/>
            </w14:solidFill>
          </w14:textFill>
        </w:rPr>
      </w:pPr>
      <w:r>
        <w:rPr>
          <w:rStyle w:val="6"/>
          <w:rFonts w:ascii="方正小标宋简体" w:hAnsi="方正小标宋简体" w:eastAsia="方正小标宋简体" w:cs="方正小标宋简体"/>
          <w:bCs/>
          <w:color w:val="000000" w:themeColor="text1"/>
          <w:sz w:val="44"/>
          <w:szCs w:val="44"/>
          <w14:textFill>
            <w14:solidFill>
              <w14:schemeClr w14:val="tx1"/>
            </w14:solidFill>
          </w14:textFill>
        </w:rPr>
        <w:t>行政处罚案卷评查表（一卷一表）</w:t>
      </w:r>
    </w:p>
    <w:p>
      <w:pPr>
        <w:pStyle w:val="3"/>
        <w:spacing w:after="0" w:line="600" w:lineRule="exact"/>
        <w:rPr>
          <w:color w:val="000000" w:themeColor="text1"/>
          <w14:textFill>
            <w14:solidFill>
              <w14:schemeClr w14:val="tx1"/>
            </w14:solidFill>
          </w14:textFill>
        </w:rPr>
      </w:pPr>
    </w:p>
    <w:p>
      <w:pPr>
        <w:pStyle w:val="7"/>
        <w:spacing w:line="240" w:lineRule="auto"/>
        <w:rPr>
          <w:rStyle w:val="8"/>
          <w:rFonts w:hint="default" w:ascii="楷体_GB2312" w:eastAsia="楷体_GB2312"/>
          <w:b/>
          <w:color w:val="000000" w:themeColor="text1"/>
          <w:sz w:val="28"/>
          <w:szCs w:val="28"/>
          <w:u w:val="single"/>
          <w14:textFill>
            <w14:solidFill>
              <w14:schemeClr w14:val="tx1"/>
            </w14:solidFill>
          </w14:textFill>
        </w:rPr>
      </w:pPr>
      <w:r>
        <w:rPr>
          <w:rStyle w:val="8"/>
          <w:rFonts w:hint="default" w:ascii="楷体_GB2312" w:eastAsia="楷体_GB2312"/>
          <w:b/>
          <w:color w:val="000000" w:themeColor="text1"/>
          <w:sz w:val="28"/>
          <w:szCs w:val="28"/>
          <w14:textFill>
            <w14:solidFill>
              <w14:schemeClr w14:val="tx1"/>
            </w14:solidFill>
          </w14:textFill>
        </w:rPr>
        <w:t>被评查单位：</w:t>
      </w:r>
      <w:r>
        <w:rPr>
          <w:rStyle w:val="8"/>
          <w:rFonts w:hint="default" w:ascii="楷体_GB2312" w:eastAsia="楷体_GB2312"/>
          <w:b/>
          <w:color w:val="000000" w:themeColor="text1"/>
          <w:sz w:val="28"/>
          <w:szCs w:val="28"/>
          <w:u w:val="single"/>
          <w14:textFill>
            <w14:solidFill>
              <w14:schemeClr w14:val="tx1"/>
            </w14:solidFill>
          </w14:textFill>
        </w:rPr>
        <w:t xml:space="preserve">                                          </w:t>
      </w:r>
    </w:p>
    <w:p>
      <w:pPr>
        <w:pStyle w:val="7"/>
        <w:spacing w:line="240" w:lineRule="auto"/>
        <w:rPr>
          <w:rStyle w:val="8"/>
          <w:rFonts w:hint="default" w:ascii="楷体_GB2312" w:eastAsia="楷体_GB2312"/>
          <w:b/>
          <w:color w:val="000000" w:themeColor="text1"/>
          <w:sz w:val="28"/>
          <w:szCs w:val="28"/>
          <w:u w:val="single"/>
          <w14:textFill>
            <w14:solidFill>
              <w14:schemeClr w14:val="tx1"/>
            </w14:solidFill>
          </w14:textFill>
        </w:rPr>
      </w:pPr>
      <w:r>
        <w:rPr>
          <w:rStyle w:val="8"/>
          <w:rFonts w:hint="default" w:ascii="楷体_GB2312" w:eastAsia="楷体_GB2312"/>
          <w:b/>
          <w:color w:val="000000" w:themeColor="text1"/>
          <w:sz w:val="28"/>
          <w:szCs w:val="28"/>
          <w14:textFill>
            <w14:solidFill>
              <w14:schemeClr w14:val="tx1"/>
            </w14:solidFill>
          </w14:textFill>
        </w:rPr>
        <w:t>案卷名称：</w:t>
      </w:r>
      <w:r>
        <w:rPr>
          <w:rStyle w:val="8"/>
          <w:rFonts w:hint="default" w:ascii="楷体_GB2312" w:eastAsia="楷体_GB2312"/>
          <w:b/>
          <w:color w:val="000000" w:themeColor="text1"/>
          <w:sz w:val="28"/>
          <w:szCs w:val="28"/>
          <w:u w:val="single"/>
          <w14:textFill>
            <w14:solidFill>
              <w14:schemeClr w14:val="tx1"/>
            </w14:solidFill>
          </w14:textFill>
        </w:rPr>
        <w:t xml:space="preserve">                                            </w:t>
      </w:r>
    </w:p>
    <w:p>
      <w:pPr>
        <w:pStyle w:val="7"/>
        <w:spacing w:line="240" w:lineRule="auto"/>
        <w:rPr>
          <w:rStyle w:val="8"/>
          <w:rFonts w:hint="default" w:ascii="楷体_GB2312" w:eastAsia="楷体_GB2312"/>
          <w:b/>
          <w:color w:val="000000" w:themeColor="text1"/>
          <w:sz w:val="28"/>
          <w:szCs w:val="28"/>
          <w:u w:val="single"/>
          <w14:textFill>
            <w14:solidFill>
              <w14:schemeClr w14:val="tx1"/>
            </w14:solidFill>
          </w14:textFill>
        </w:rPr>
      </w:pPr>
      <w:r>
        <w:rPr>
          <w:rStyle w:val="8"/>
          <w:rFonts w:hint="default" w:ascii="楷体_GB2312" w:eastAsia="楷体_GB2312"/>
          <w:b/>
          <w:color w:val="000000" w:themeColor="text1"/>
          <w:sz w:val="28"/>
          <w:szCs w:val="28"/>
          <w14:textFill>
            <w14:solidFill>
              <w14:schemeClr w14:val="tx1"/>
            </w14:solidFill>
          </w14:textFill>
        </w:rPr>
        <w:t>案卷号：</w:t>
      </w:r>
      <w:r>
        <w:rPr>
          <w:rStyle w:val="8"/>
          <w:rFonts w:hint="default" w:ascii="楷体_GB2312" w:eastAsia="楷体_GB2312"/>
          <w:b/>
          <w:color w:val="000000" w:themeColor="text1"/>
          <w:sz w:val="28"/>
          <w:szCs w:val="28"/>
          <w:u w:val="single"/>
          <w14:textFill>
            <w14:solidFill>
              <w14:schemeClr w14:val="tx1"/>
            </w14:solidFill>
          </w14:textFill>
        </w:rPr>
        <w:t xml:space="preserve">                                              </w:t>
      </w:r>
    </w:p>
    <w:p>
      <w:pPr>
        <w:pStyle w:val="7"/>
        <w:spacing w:line="240" w:lineRule="auto"/>
        <w:rPr>
          <w:rStyle w:val="8"/>
          <w:rFonts w:hint="default" w:ascii="楷体_GB2312" w:eastAsia="楷体_GB2312"/>
          <w:b/>
          <w:color w:val="000000" w:themeColor="text1"/>
          <w:sz w:val="28"/>
          <w:szCs w:val="28"/>
          <w:u w:val="single"/>
          <w14:textFill>
            <w14:solidFill>
              <w14:schemeClr w14:val="tx1"/>
            </w14:solidFill>
          </w14:textFill>
        </w:rPr>
      </w:pPr>
      <w:r>
        <w:rPr>
          <w:rStyle w:val="8"/>
          <w:rFonts w:ascii="楷体_GB2312" w:eastAsia="楷体_GB2312"/>
          <w:b/>
          <w:color w:val="000000" w:themeColor="text1"/>
          <w:sz w:val="28"/>
          <w:szCs w:val="28"/>
          <w14:textFill>
            <w14:solidFill>
              <w14:schemeClr w14:val="tx1"/>
            </w14:solidFill>
          </w14:textFill>
        </w:rPr>
        <w:t>分值</w:t>
      </w:r>
      <w:r>
        <w:rPr>
          <w:rStyle w:val="8"/>
          <w:rFonts w:hint="default" w:ascii="楷体_GB2312" w:eastAsia="楷体_GB2312"/>
          <w:b/>
          <w:color w:val="000000" w:themeColor="text1"/>
          <w:sz w:val="28"/>
          <w:szCs w:val="28"/>
          <w14:textFill>
            <w14:solidFill>
              <w14:schemeClr w14:val="tx1"/>
            </w14:solidFill>
          </w14:textFill>
        </w:rPr>
        <w:t>：</w:t>
      </w:r>
      <w:r>
        <w:rPr>
          <w:rStyle w:val="8"/>
          <w:rFonts w:hint="default" w:ascii="楷体_GB2312" w:eastAsia="楷体_GB2312"/>
          <w:b/>
          <w:color w:val="000000" w:themeColor="text1"/>
          <w:sz w:val="28"/>
          <w:szCs w:val="28"/>
          <w:u w:val="single"/>
          <w14:textFill>
            <w14:solidFill>
              <w14:schemeClr w14:val="tx1"/>
            </w14:solidFill>
          </w14:textFill>
        </w:rPr>
        <w:t xml:space="preserve">                 </w:t>
      </w:r>
      <w:r>
        <w:rPr>
          <w:rStyle w:val="8"/>
          <w:rFonts w:hint="default" w:ascii="楷体_GB2312" w:eastAsia="楷体_GB2312"/>
          <w:b/>
          <w:color w:val="000000" w:themeColor="text1"/>
          <w:sz w:val="28"/>
          <w:szCs w:val="28"/>
          <w14:textFill>
            <w14:solidFill>
              <w14:schemeClr w14:val="tx1"/>
            </w14:solidFill>
          </w14:textFill>
        </w:rPr>
        <w:t xml:space="preserve"> 总体评价：</w:t>
      </w:r>
      <w:r>
        <w:rPr>
          <w:rStyle w:val="8"/>
          <w:rFonts w:hint="default" w:ascii="楷体_GB2312" w:eastAsia="楷体_GB2312"/>
          <w:b/>
          <w:color w:val="000000" w:themeColor="text1"/>
          <w:sz w:val="28"/>
          <w:szCs w:val="28"/>
          <w:u w:val="single"/>
          <w14:textFill>
            <w14:solidFill>
              <w14:schemeClr w14:val="tx1"/>
            </w14:solidFill>
          </w14:textFill>
        </w:rPr>
        <w:t xml:space="preserve">                </w:t>
      </w:r>
    </w:p>
    <w:p>
      <w:pPr>
        <w:pStyle w:val="7"/>
        <w:spacing w:line="240" w:lineRule="auto"/>
        <w:rPr>
          <w:rStyle w:val="8"/>
          <w:rFonts w:hint="default" w:ascii="楷体_GB2312" w:eastAsia="楷体_GB2312"/>
          <w:b/>
          <w:color w:val="000000" w:themeColor="text1"/>
          <w:sz w:val="28"/>
          <w:szCs w:val="28"/>
          <w:u w:val="single"/>
          <w14:textFill>
            <w14:solidFill>
              <w14:schemeClr w14:val="tx1"/>
            </w14:solidFill>
          </w14:textFill>
        </w:rPr>
      </w:pPr>
      <w:r>
        <w:rPr>
          <w:rStyle w:val="8"/>
          <w:rFonts w:ascii="楷体_GB2312" w:eastAsia="楷体_GB2312"/>
          <w:b/>
          <w:color w:val="000000" w:themeColor="text1"/>
          <w:sz w:val="28"/>
          <w:szCs w:val="28"/>
          <w14:textFill>
            <w14:solidFill>
              <w14:schemeClr w14:val="tx1"/>
            </w14:solidFill>
          </w14:textFill>
        </w:rPr>
        <w:t>评查时间：</w:t>
      </w:r>
      <w:r>
        <w:rPr>
          <w:rStyle w:val="8"/>
          <w:rFonts w:hint="default" w:ascii="楷体_GB2312" w:eastAsia="楷体_GB2312"/>
          <w:b/>
          <w:color w:val="000000" w:themeColor="text1"/>
          <w:sz w:val="28"/>
          <w:szCs w:val="28"/>
          <w:u w:val="single"/>
          <w14:textFill>
            <w14:solidFill>
              <w14:schemeClr w14:val="tx1"/>
            </w14:solidFill>
          </w14:textFill>
        </w:rPr>
        <w:t xml:space="preserve">                 </w:t>
      </w:r>
    </w:p>
    <w:p>
      <w:pPr>
        <w:pStyle w:val="7"/>
        <w:spacing w:line="240" w:lineRule="auto"/>
        <w:rPr>
          <w:rStyle w:val="8"/>
          <w:rFonts w:hint="default" w:ascii="楷体_GB2312" w:eastAsia="楷体_GB2312"/>
          <w:b/>
          <w:color w:val="000000" w:themeColor="text1"/>
          <w:sz w:val="28"/>
          <w:szCs w:val="28"/>
          <w:u w:val="single"/>
          <w14:textFill>
            <w14:solidFill>
              <w14:schemeClr w14:val="tx1"/>
            </w14:solidFill>
          </w14:textFill>
        </w:rPr>
      </w:pPr>
    </w:p>
    <w:p>
      <w:pPr>
        <w:spacing w:line="560"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一、基础标准部分（符合标准在该项填“√”，不符合标准则填“×”）</w:t>
      </w:r>
    </w:p>
    <w:p>
      <w:pPr>
        <w:spacing w:line="560" w:lineRule="exact"/>
        <w:ind w:firstLine="640" w:firstLineChars="200"/>
        <w:rPr>
          <w:rFonts w:hint="eastAsia"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（一）主体合法（  ）</w:t>
      </w:r>
    </w:p>
    <w:p>
      <w:pPr>
        <w:spacing w:line="560" w:lineRule="exact"/>
        <w:ind w:left="640" w:left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1.实施行政处罚的主体具备法定资格。</w:t>
      </w:r>
    </w:p>
    <w:p>
      <w:pPr>
        <w:spacing w:line="560" w:lineRule="exact"/>
        <w:ind w:left="640" w:left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2.实施行政处罚的主体在法定职权范围内实施行政处罚。</w:t>
      </w:r>
    </w:p>
    <w:p>
      <w:pPr>
        <w:spacing w:line="560" w:lineRule="exact"/>
        <w:ind w:left="640" w:left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3.被处罚主体认定准确。</w:t>
      </w:r>
    </w:p>
    <w:p>
      <w:pPr>
        <w:spacing w:line="560" w:lineRule="exact"/>
        <w:ind w:firstLine="640" w:firstLineChars="200"/>
        <w:rPr>
          <w:rFonts w:hint="eastAsia"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（二）事实清楚、证据确凿（  ）</w:t>
      </w:r>
    </w:p>
    <w:p>
      <w:pPr>
        <w:spacing w:line="560" w:lineRule="exact"/>
        <w:ind w:left="640" w:left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1.违法事实与情节认定清楚，表述准确。</w:t>
      </w:r>
    </w:p>
    <w:p>
      <w:pPr>
        <w:spacing w:line="56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2.认定违法主体和违法行为的证据充分，并且主要证据具有真实性、关联性、合法性。</w:t>
      </w:r>
    </w:p>
    <w:p>
      <w:pPr>
        <w:spacing w:line="560" w:lineRule="exact"/>
        <w:ind w:left="640" w:leftChars="200"/>
        <w:rPr>
          <w:rFonts w:ascii="仿宋" w:hAnsi="仿宋" w:cs="仿宋"/>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（三）适用法律正确（  ）</w:t>
      </w:r>
    </w:p>
    <w:p>
      <w:pPr>
        <w:spacing w:line="560" w:lineRule="exact"/>
        <w:ind w:left="640" w:left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1.实施行政处罚有明确、有效的法律依据。</w:t>
      </w:r>
    </w:p>
    <w:p>
      <w:pPr>
        <w:spacing w:line="560" w:lineRule="exact"/>
        <w:ind w:left="640" w:left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2.适用法律正确，且引用条、款、项、目准确、完整。</w:t>
      </w:r>
    </w:p>
    <w:p>
      <w:pPr>
        <w:spacing w:line="560" w:lineRule="exact"/>
        <w:ind w:left="640" w:left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3.行政处罚种类和幅度符合法律、法规、规章的规定。</w:t>
      </w:r>
    </w:p>
    <w:p>
      <w:pPr>
        <w:spacing w:line="560" w:lineRule="exact"/>
        <w:ind w:firstLine="640" w:firstLineChars="200"/>
        <w:rPr>
          <w:rFonts w:hint="eastAsia"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（四）程序合法（  ）</w:t>
      </w:r>
    </w:p>
    <w:p>
      <w:pPr>
        <w:spacing w:line="56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1.按照立案、调查取证、审查决定、送达执行的步骤、顺序实施行政处罚。</w:t>
      </w:r>
    </w:p>
    <w:p>
      <w:pPr>
        <w:spacing w:line="56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2.由两名以上执法人员进行调查取证。</w:t>
      </w:r>
    </w:p>
    <w:p>
      <w:pPr>
        <w:spacing w:line="56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3.作出行政处罚决定前向当事人履行告知义务并听取其陈述和申辩。</w:t>
      </w:r>
    </w:p>
    <w:p>
      <w:pPr>
        <w:spacing w:line="56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4.对符合听证条件的，告知当事人听证权，当事人要求听证的，依法举行听证。</w:t>
      </w:r>
    </w:p>
    <w:p>
      <w:pPr>
        <w:spacing w:line="56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5.行政处罚决定经过行政机关负责人批准；重大行政处罚案件履行集体讨论程序；依法应由上一级行政机关批准或决定的行政处罚案件，必须上报。</w:t>
      </w:r>
    </w:p>
    <w:p>
      <w:pPr>
        <w:spacing w:line="56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6.应当送达的法律文书依照法定程序和法定时间送达，并有送达回证。</w:t>
      </w:r>
    </w:p>
    <w:p>
      <w:pPr>
        <w:spacing w:line="56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7.依法应当移送其他机关的案件，必须移送。</w:t>
      </w:r>
    </w:p>
    <w:p>
      <w:pPr>
        <w:spacing w:line="560" w:lineRule="exact"/>
        <w:ind w:firstLine="643" w:firstLineChars="200"/>
        <w:rPr>
          <w:rFonts w:ascii="仿宋_GB2312" w:eastAsia="仿宋_GB2312"/>
          <w:color w:val="000000" w:themeColor="text1"/>
          <w:szCs w:val="32"/>
          <w14:textFill>
            <w14:solidFill>
              <w14:schemeClr w14:val="tx1"/>
            </w14:solidFill>
          </w14:textFill>
        </w:rPr>
      </w:pPr>
      <w:r>
        <w:rPr>
          <w:rFonts w:hint="eastAsia" w:ascii="仿宋_GB2312" w:eastAsia="仿宋_GB2312"/>
          <w:b/>
          <w:bCs/>
          <w:color w:val="000000" w:themeColor="text1"/>
          <w:szCs w:val="32"/>
          <w14:textFill>
            <w14:solidFill>
              <w14:schemeClr w14:val="tx1"/>
            </w14:solidFill>
          </w14:textFill>
        </w:rPr>
        <w:t>注：基础标准不设具体分数，但不符合其中任何一项基础标准内容的，判定该案卷为不合格卷。</w:t>
      </w:r>
    </w:p>
    <w:p>
      <w:pPr>
        <w:spacing w:line="240" w:lineRule="auto"/>
        <w:ind w:firstLine="640" w:firstLineChars="200"/>
        <w:rPr>
          <w:rFonts w:ascii="仿宋_GB2312" w:hAnsi="华文中宋" w:eastAsia="仿宋_GB2312"/>
          <w:b/>
          <w:bCs/>
          <w:color w:val="000000" w:themeColor="text1"/>
          <w:sz w:val="24"/>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二、文书规范标准(100分)</w:t>
      </w:r>
    </w:p>
    <w:tbl>
      <w:tblPr>
        <w:tblStyle w:val="4"/>
        <w:tblW w:w="965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71"/>
        <w:gridCol w:w="5604"/>
        <w:gridCol w:w="954"/>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阶段</w:t>
            </w:r>
          </w:p>
        </w:tc>
        <w:tc>
          <w:tcPr>
            <w:tcW w:w="1371"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评查项目</w:t>
            </w:r>
          </w:p>
        </w:tc>
        <w:tc>
          <w:tcPr>
            <w:tcW w:w="5604"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评    查    内    容</w:t>
            </w:r>
          </w:p>
        </w:tc>
        <w:tc>
          <w:tcPr>
            <w:tcW w:w="954"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分数</w:t>
            </w:r>
          </w:p>
        </w:tc>
        <w:tc>
          <w:tcPr>
            <w:tcW w:w="737" w:type="dxa"/>
            <w:tcBorders>
              <w:top w:val="single" w:color="auto" w:sz="4" w:space="0"/>
              <w:left w:val="nil"/>
              <w:bottom w:val="single" w:color="auto" w:sz="4" w:space="0"/>
              <w:right w:val="single" w:color="auto" w:sz="4" w:space="0"/>
            </w:tcBorders>
            <w:vAlign w:val="center"/>
          </w:tcPr>
          <w:p>
            <w:pPr>
              <w:spacing w:line="400" w:lineRule="exact"/>
              <w:jc w:val="center"/>
              <w:rPr>
                <w:rFonts w:ascii="黑体" w:hAnsi="黑体" w:eastAsia="黑体" w:cs="黑体"/>
                <w:color w:val="000000" w:themeColor="text1"/>
                <w:kern w:val="0"/>
                <w:sz w:val="24"/>
                <w14:textFill>
                  <w14:solidFill>
                    <w14:schemeClr w14:val="tx1"/>
                  </w14:solidFill>
                </w14:textFill>
              </w:rPr>
            </w:pPr>
            <w:r>
              <w:rPr>
                <w:rFonts w:hint="eastAsia" w:ascii="黑体" w:hAnsi="黑体" w:eastAsia="黑体" w:cs="黑体"/>
                <w:color w:val="000000" w:themeColor="text1"/>
                <w:kern w:val="0"/>
                <w:sz w:val="24"/>
                <w14:textFill>
                  <w14:solidFill>
                    <w14:schemeClr w14:val="tx1"/>
                  </w14:solidFill>
                </w14:textFill>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0"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立案</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5分</w:t>
            </w: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立案审批文书</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（5分）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有案件来源，即注明案件是来自现场检查、举报、交办还是移送等内容</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有案情记载</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有承办人意见，应注明当事人可能违反的法律、法规、规章的名称</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有行政机关负责人的审批意见、签名和日期</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 xml:space="preserve">在规定时间内立案 </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调查</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取证</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35分</w:t>
            </w:r>
          </w:p>
        </w:tc>
        <w:tc>
          <w:tcPr>
            <w:tcW w:w="1371"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检查（勘验）笔录</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（10分）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有现场检查的起止时间、场所记载</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现场检查的内容清楚</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有被检查人的基本情况</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现场检查情况记录准确、客观、全面</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有被检查人对笔录的意见及签名（被检查人不在现场或拒绝签名的，应有见证人或两名以上执法人员签名并说明原因）</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询问笔录</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（10分）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有询问的起止时间、地点</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一份询问笔录针对一个被询问人</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被询问人基本情况完整</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询问笔录记录的内容完整</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有两名执法人员的签名</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笔录有被询问人逐页签名（被询问人拒绝签名的应有两名以上执法人员签名并说明原因）</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笔录中有涂改之处时，应有被询问人压指印、盖章或签名</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调查取证与保存证据文书</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（10分）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完整记录被调查取证人的情况</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调查取证事由正当</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调查取证的地点准确具体</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提取的证物应与案件有关</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调查取证物品的性描述完整准确（包括物品名称、规格、数量等）</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应当有两名以上执法人员的签名</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有被调查取证人签名或盖章（被取证人不在现场或拒绝签名的，应有见证人或两名以上执法人员签名并说明原因）</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有行政机关的印章和日期</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采取先行登记保存措施须经行政机关负责人批准</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先行登记保存的物品应在法室期限内做出处理决定</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鉴定文书（5分）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有申请鉴定的单位或个人</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有申请鉴定的时间及内容</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有明确的结论性意见</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有鉴定部门印章、日期及鉴定人员姓名</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审查</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决定</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40分</w:t>
            </w:r>
          </w:p>
        </w:tc>
        <w:tc>
          <w:tcPr>
            <w:tcW w:w="1371"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案件处理的审批</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文书</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（5分）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案由和当事人的基本情况记载准确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违法事实记录完整，证据确凿、充分，处罚依据明确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承办人的意见明确、具体，有签名和准确日期</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有法制机构的审查意见</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行政机关负责人审批意见明确、具体，有签名、日期</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违法行为处理告知文书</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（5分）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当事人名称准确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载明违法事实和法律依据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明确告知拟给予行政处罚的内容</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明确告知当事人行使陈述权、申辩权和要求听证权的期限</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处罚机关的印章、日期完整</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hint="eastAsia"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听证</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通知书</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（4分）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举行听证的时间、地点具体、准确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明确告知听证主持人的姓名</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注明当事人可以委托代理人参加听证和有要求听证主持人回避的权利，告知当事人无故不按时参加听证视为放弃听证权</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处罚机关的印章、日期完整</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听证笔录</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（4分）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准确记载举行听证的起止时间、地点</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载明听证主持人、记录人、当事人、代理人、案件调查人员的基本情况</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载明当事人对案件涉及的事实、证据、依据方面的陈述和申辩的内容</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有当事人的签名</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听证报告</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（4分）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载明案由</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载明听证的时间、地点、参加人情况</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当事人针对处罚机关认定的违法事实、情节、适用法律等提出的理由和依据及比轻、减轻或不予行政处罚的要求及依据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载明听证结论</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行政处罚</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决定书</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（18分）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有当事人基本情况（公民：姓名、性别、年龄、住址；法人：单位名称、地址、法定代表人）</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有违反法律、法规、规章的事实和依据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4分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有行政处罚的依据和种类</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4分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有行政处罚的履行方式和期限，并告知若逾期缴纳罚款加处罚款的规定</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3分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有告知当事人如不服行政处罚决定的，可以申请行政复议或者提起行政诉讼的途径和期限</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2分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有作出行政处罚决定的处罚机关印章、日期</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3分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送达和执行</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15分</w:t>
            </w:r>
          </w:p>
        </w:tc>
        <w:tc>
          <w:tcPr>
            <w:tcW w:w="1371"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送达回证（5分）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载明送达文收名称</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载明受送达人名称（姓名）</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载明送达时间、地点</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送达方式准确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有送达人、收件人员的签名、行政机关印章</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罚没款（物）票据（4分）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处罚机关应当和罚款收缴机关分离，法律规定可以当场收缴的除外</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应使用合法罚没票据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票据控制室规范、准确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缴纳罚款期限正确，加盖处罚机关印章</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行政处罚强制执行申请文书</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（3分）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案件名称准确、被申请人基本情况清楚</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申请执行项目准确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案情叙述完整准确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强制执行理由正确</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案件主要材料齐备</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1分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restart"/>
            <w:tcBorders>
              <w:top w:val="nil"/>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结案报告</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（3分）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案由清楚</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载明结案理由</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载明行政处罚决定执行情况，未执行部分应有说明</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罚没财物应有处理结果</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 xml:space="preserve">有案件调查人员结案意见及签名、日期 </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有行政机关负责人同意结案的意见和签名、日期</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案卷</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归档</w:t>
            </w:r>
          </w:p>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5分</w:t>
            </w:r>
          </w:p>
        </w:tc>
        <w:tc>
          <w:tcPr>
            <w:tcW w:w="1371" w:type="dxa"/>
            <w:vMerge w:val="restart"/>
            <w:tcBorders>
              <w:top w:val="single" w:color="auto" w:sz="4" w:space="0"/>
              <w:left w:val="nil"/>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案卷归档</w:t>
            </w:r>
          </w:p>
          <w:p>
            <w:pPr>
              <w:widowControl/>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（5分）</w:t>
            </w: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一案一卷（特殊情况分正副卷的除外）</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vMerge w:val="continue"/>
            <w:tcBorders>
              <w:left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left w:val="nil"/>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使用统一规范的卷宗封面、一卷一号</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vMerge w:val="continue"/>
            <w:tcBorders>
              <w:left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left w:val="nil"/>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卷内文字应当使用钢笔、签字或毛笔书写</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vMerge w:val="continue"/>
            <w:tcBorders>
              <w:left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left w:val="nil"/>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卷内目录和备考表填写规范</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0" w:type="dxa"/>
            <w:vMerge w:val="continue"/>
            <w:tcBorders>
              <w:left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left w:val="nil"/>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卷内材料排列有序（应按时间顺序排列，或行政处罚决定书在前，其余文书按时间顺序排列），装订整齐</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vMerge w:val="continue"/>
            <w:tcBorders>
              <w:left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c>
          <w:tcPr>
            <w:tcW w:w="1371" w:type="dxa"/>
            <w:vMerge w:val="continue"/>
            <w:tcBorders>
              <w:left w:val="nil"/>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卷内材料有规范的页号</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left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left w:val="nil"/>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不能随文书装订立卷的证据，应放入证据袋中，随卷归档</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left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left w:val="nil"/>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卷内无金属物</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Merge w:val="continue"/>
            <w:tcBorders>
              <w:left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left w:val="nil"/>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破损的文书应修补或复制</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1371" w:type="dxa"/>
            <w:vMerge w:val="continue"/>
            <w:tcBorders>
              <w:left w:val="nil"/>
              <w:bottom w:val="single" w:color="auto" w:sz="4" w:space="0"/>
              <w:right w:val="single" w:color="auto" w:sz="4" w:space="0"/>
            </w:tcBorders>
            <w:vAlign w:val="center"/>
          </w:tcPr>
          <w:p>
            <w:pPr>
              <w:widowControl/>
              <w:spacing w:line="300" w:lineRule="exact"/>
              <w:jc w:val="left"/>
              <w:rPr>
                <w:rFonts w:ascii="仿宋" w:hAnsi="仿宋" w:cs="仿宋"/>
                <w:color w:val="000000" w:themeColor="text1"/>
                <w:sz w:val="24"/>
                <w14:textFill>
                  <w14:solidFill>
                    <w14:schemeClr w14:val="tx1"/>
                  </w14:solidFill>
                </w14:textFill>
              </w:rPr>
            </w:pPr>
          </w:p>
        </w:tc>
        <w:tc>
          <w:tcPr>
            <w:tcW w:w="5604" w:type="dxa"/>
            <w:tcBorders>
              <w:top w:val="single" w:color="auto" w:sz="4" w:space="0"/>
              <w:left w:val="nil"/>
              <w:bottom w:val="single" w:color="auto" w:sz="4" w:space="0"/>
              <w:right w:val="single" w:color="auto" w:sz="4" w:space="0"/>
            </w:tcBorders>
            <w:vAlign w:val="center"/>
          </w:tcPr>
          <w:p>
            <w:pPr>
              <w:spacing w:line="300" w:lineRule="exact"/>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案卷归档及时</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r>
              <w:rPr>
                <w:rFonts w:hint="eastAsia" w:ascii="仿宋" w:hAnsi="仿宋" w:cs="仿宋"/>
                <w:color w:val="000000" w:themeColor="text1"/>
                <w:sz w:val="24"/>
                <w14:textFill>
                  <w14:solidFill>
                    <w14:schemeClr w14:val="tx1"/>
                  </w14:solidFill>
                </w14:textFill>
              </w:rPr>
              <w:t>0.5分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cs="仿宋"/>
                <w:b/>
                <w:bCs/>
                <w:color w:val="000000" w:themeColor="text1"/>
                <w:sz w:val="24"/>
                <w14:textFill>
                  <w14:solidFill>
                    <w14:schemeClr w14:val="tx1"/>
                  </w14:solidFill>
                </w14:textFill>
              </w:rPr>
            </w:pPr>
            <w:r>
              <w:rPr>
                <w:rFonts w:hint="eastAsia" w:ascii="仿宋" w:hAnsi="仿宋" w:cs="仿宋"/>
                <w:b/>
                <w:bCs/>
                <w:color w:val="000000" w:themeColor="text1"/>
                <w:sz w:val="24"/>
                <w14:textFill>
                  <w14:solidFill>
                    <w14:schemeClr w14:val="tx1"/>
                  </w14:solidFill>
                </w14:textFill>
              </w:rPr>
              <w:t>总  分</w:t>
            </w:r>
          </w:p>
        </w:tc>
        <w:tc>
          <w:tcPr>
            <w:tcW w:w="95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b/>
                <w:bCs/>
                <w:color w:val="000000" w:themeColor="text1"/>
                <w:sz w:val="24"/>
                <w14:textFill>
                  <w14:solidFill>
                    <w14:schemeClr w14:val="tx1"/>
                  </w14:solidFill>
                </w14:textFill>
              </w:rPr>
            </w:pPr>
            <w:r>
              <w:rPr>
                <w:rFonts w:hint="eastAsia" w:ascii="仿宋" w:hAnsi="仿宋" w:cs="仿宋"/>
                <w:b/>
                <w:bCs/>
                <w:color w:val="000000" w:themeColor="text1"/>
                <w:sz w:val="24"/>
                <w14:textFill>
                  <w14:solidFill>
                    <w14:schemeClr w14:val="tx1"/>
                  </w14:solidFill>
                </w14:textFill>
              </w:rPr>
              <w:t>100分</w:t>
            </w:r>
          </w:p>
        </w:tc>
        <w:tc>
          <w:tcPr>
            <w:tcW w:w="737"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56" w:type="dxa"/>
            <w:gridSpan w:val="5"/>
            <w:tcBorders>
              <w:top w:val="single" w:color="auto" w:sz="4" w:space="0"/>
              <w:left w:val="single" w:color="auto" w:sz="4" w:space="0"/>
              <w:bottom w:val="single" w:color="auto" w:sz="4" w:space="0"/>
              <w:right w:val="single" w:color="auto" w:sz="4" w:space="0"/>
            </w:tcBorders>
          </w:tcPr>
          <w:p>
            <w:pPr>
              <w:widowControl/>
              <w:spacing w:line="320" w:lineRule="exact"/>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备注：</w:t>
            </w:r>
          </w:p>
          <w:p>
            <w:pPr>
              <w:widowControl/>
              <w:spacing w:line="320" w:lineRule="exact"/>
              <w:ind w:firstLine="480" w:firstLineChars="200"/>
              <w:jc w:val="left"/>
              <w:rPr>
                <w:rFonts w:ascii="楷体" w:hAnsi="楷体" w:eastAsia="楷体" w:cs="楷体"/>
                <w:color w:val="000000" w:themeColor="text1"/>
                <w:kern w:val="0"/>
                <w:sz w:val="24"/>
                <w:szCs w:val="21"/>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1.本次案卷评查满分为100分，</w:t>
            </w:r>
            <w:r>
              <w:rPr>
                <w:rFonts w:hint="eastAsia" w:ascii="楷体" w:hAnsi="楷体" w:eastAsia="楷体" w:cs="楷体"/>
                <w:color w:val="000000" w:themeColor="text1"/>
                <w:kern w:val="0"/>
                <w:sz w:val="24"/>
                <w:szCs w:val="21"/>
                <w14:textFill>
                  <w14:solidFill>
                    <w14:schemeClr w14:val="tx1"/>
                  </w14:solidFill>
                </w14:textFill>
              </w:rPr>
              <w:t>90分以上为优秀，80—89分为良好，70—79分为合格，不满70分为不合格；</w:t>
            </w:r>
          </w:p>
          <w:p>
            <w:pPr>
              <w:widowControl/>
              <w:spacing w:line="320" w:lineRule="exact"/>
              <w:ind w:firstLine="480" w:firstLineChars="200"/>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2.凡是经行政复议、行政诉讼未能维持的案卷视情而定为不合格案卷；</w:t>
            </w:r>
          </w:p>
          <w:p>
            <w:pPr>
              <w:widowControl/>
              <w:spacing w:line="320" w:lineRule="exact"/>
              <w:ind w:firstLine="480" w:firstLineChars="200"/>
              <w:jc w:val="left"/>
              <w:rPr>
                <w:rFonts w:ascii="楷体" w:hAnsi="楷体" w:eastAsia="楷体" w:cs="楷体"/>
                <w:color w:val="000000" w:themeColor="text1"/>
                <w:kern w:val="0"/>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3.凡是实施行政处罚的主体、权限、依据、条件不符合法定要求的均为不合格案卷；</w:t>
            </w:r>
          </w:p>
          <w:p>
            <w:pPr>
              <w:spacing w:line="400" w:lineRule="exact"/>
              <w:ind w:firstLine="480" w:firstLineChars="200"/>
              <w:rPr>
                <w:rFonts w:ascii="仿宋_GB2312" w:hAnsi="华文中宋" w:eastAsia="仿宋_GB2312"/>
                <w:color w:val="000000" w:themeColor="text1"/>
                <w:sz w:val="22"/>
                <w:szCs w:val="22"/>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4.国务院各部委、直属单位对本系统实施行政处罚程序及文书另有规定的，从其规定执行。</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FZF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DE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Char"/>
    <w:basedOn w:val="1"/>
    <w:next w:val="1"/>
    <w:qFormat/>
    <w:uiPriority w:val="0"/>
    <w:rPr>
      <w:rFonts w:ascii="Times New Roman" w:hAnsi="Times New Roman" w:eastAsia="宋体" w:cs="Times New Roman"/>
    </w:rPr>
  </w:style>
  <w:style w:type="paragraph" w:styleId="3">
    <w:name w:val="Body Text"/>
    <w:basedOn w:val="1"/>
    <w:qFormat/>
    <w:uiPriority w:val="0"/>
    <w:pPr>
      <w:spacing w:after="120"/>
    </w:pPr>
    <w:rPr>
      <w:rFonts w:ascii="Calibri" w:hAnsi="Calibri" w:cs="Times New Roman"/>
    </w:rPr>
  </w:style>
  <w:style w:type="character" w:customStyle="1" w:styleId="6">
    <w:name w:val="ca-31"/>
    <w:qFormat/>
    <w:uiPriority w:val="0"/>
    <w:rPr>
      <w:rFonts w:hint="eastAsia" w:ascii="方正大标宋简体" w:eastAsia="方正大标宋简体"/>
      <w:sz w:val="36"/>
      <w:szCs w:val="36"/>
    </w:rPr>
  </w:style>
  <w:style w:type="paragraph" w:customStyle="1" w:styleId="7">
    <w:name w:val="pa-4"/>
    <w:basedOn w:val="1"/>
    <w:qFormat/>
    <w:uiPriority w:val="0"/>
    <w:pPr>
      <w:widowControl/>
      <w:spacing w:line="340" w:lineRule="atLeast"/>
    </w:pPr>
    <w:rPr>
      <w:rFonts w:ascii="宋体" w:hAnsi="宋体" w:eastAsia="宋体" w:cs="宋体"/>
      <w:kern w:val="0"/>
      <w:sz w:val="24"/>
    </w:rPr>
  </w:style>
  <w:style w:type="character" w:customStyle="1" w:styleId="8">
    <w:name w:val="ca-11"/>
    <w:qFormat/>
    <w:uiPriority w:val="0"/>
    <w:rPr>
      <w:rFonts w:hint="eastAsia" w:ascii="FZFS" w:eastAsia="FZFS"/>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2022-05-13T02:41:39Z</dcterms:created>
  <dc:creator>Administrator</dc:creator>
  <cp:lastModifiedBy>Administrator</cp:lastModifiedBy>
  <dcterms:modified xsi:type="dcterms:W3CDTF">2022-05-13T02:41:52Z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