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AE27E">
      <w:pPr>
        <w:widowControl/>
        <w:tabs>
          <w:tab w:val="left" w:pos="1588"/>
        </w:tabs>
        <w:spacing w:line="600" w:lineRule="exact"/>
        <w:jc w:val="left"/>
        <w:rPr>
          <w:rFonts w:hint="eastAsia" w:ascii="黑体" w:eastAsia="黑体" w:cs="黑体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sz w:val="32"/>
          <w:szCs w:val="32"/>
          <w:lang w:val="en-US" w:eastAsia="zh-CN"/>
        </w:rPr>
        <w:t>附表2</w:t>
      </w:r>
    </w:p>
    <w:p w14:paraId="56F40FF4">
      <w:pPr>
        <w:pStyle w:val="8"/>
        <w:widowControl w:val="0"/>
        <w:spacing w:line="600" w:lineRule="exact"/>
        <w:ind w:left="0" w:leftChars="0" w:firstLine="0" w:firstLineChars="0"/>
        <w:jc w:val="center"/>
        <w:rPr>
          <w:rFonts w:hint="eastAsia" w:ascii="宋体" w:eastAsia="宋体" w:cs="宋体"/>
          <w:b/>
          <w:bCs/>
          <w:sz w:val="32"/>
          <w:szCs w:val="22"/>
          <w:lang w:val="en-US" w:eastAsia="zh-CN"/>
        </w:rPr>
      </w:pPr>
    </w:p>
    <w:p w14:paraId="2BAA5BE4">
      <w:pPr>
        <w:pStyle w:val="8"/>
        <w:widowControl w:val="0"/>
        <w:spacing w:line="6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陕西渭南陕西恒盛诺德高科技有限公司“11·25”较大中毒事故</w:t>
      </w:r>
    </w:p>
    <w:p w14:paraId="2B5D7AB3">
      <w:pPr>
        <w:pStyle w:val="8"/>
        <w:widowControl w:val="0"/>
        <w:spacing w:line="6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责任单位处理落实情况汇总表</w:t>
      </w:r>
    </w:p>
    <w:tbl>
      <w:tblPr>
        <w:tblStyle w:val="6"/>
        <w:tblW w:w="142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617"/>
        <w:gridCol w:w="5034"/>
        <w:gridCol w:w="2850"/>
        <w:gridCol w:w="1417"/>
        <w:gridCol w:w="2566"/>
      </w:tblGrid>
      <w:tr w14:paraId="2AE42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49" w:type="dxa"/>
            <w:vAlign w:val="center"/>
          </w:tcPr>
          <w:p w14:paraId="733013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1617" w:type="dxa"/>
            <w:vAlign w:val="center"/>
          </w:tcPr>
          <w:p w14:paraId="791438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单位名称</w:t>
            </w:r>
          </w:p>
        </w:tc>
        <w:tc>
          <w:tcPr>
            <w:tcW w:w="5034" w:type="dxa"/>
            <w:vAlign w:val="center"/>
          </w:tcPr>
          <w:p w14:paraId="384E5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责任认定</w:t>
            </w:r>
          </w:p>
        </w:tc>
        <w:tc>
          <w:tcPr>
            <w:tcW w:w="2850" w:type="dxa"/>
            <w:vAlign w:val="center"/>
          </w:tcPr>
          <w:p w14:paraId="4B5C4B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处理建议</w:t>
            </w:r>
          </w:p>
        </w:tc>
        <w:tc>
          <w:tcPr>
            <w:tcW w:w="1417" w:type="dxa"/>
            <w:vAlign w:val="center"/>
          </w:tcPr>
          <w:p w14:paraId="1AB8C8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落实</w:t>
            </w:r>
          </w:p>
          <w:p w14:paraId="68D54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单位</w:t>
            </w:r>
          </w:p>
        </w:tc>
        <w:tc>
          <w:tcPr>
            <w:tcW w:w="2566" w:type="dxa"/>
            <w:vAlign w:val="center"/>
          </w:tcPr>
          <w:p w14:paraId="54BA7D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落实情况</w:t>
            </w:r>
          </w:p>
        </w:tc>
      </w:tr>
      <w:tr w14:paraId="598BA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7" w:hRule="atLeast"/>
          <w:jc w:val="center"/>
        </w:trPr>
        <w:tc>
          <w:tcPr>
            <w:tcW w:w="749" w:type="dxa"/>
            <w:vAlign w:val="center"/>
          </w:tcPr>
          <w:p w14:paraId="5773319B">
            <w:pPr>
              <w:tabs>
                <w:tab w:val="left" w:pos="1588"/>
              </w:tabs>
              <w:spacing w:line="300" w:lineRule="exact"/>
              <w:jc w:val="center"/>
              <w:rPr>
                <w:rFonts w:hint="eastAsia" w:ascii="仿宋" w:eastAsia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1</w:t>
            </w:r>
          </w:p>
        </w:tc>
        <w:tc>
          <w:tcPr>
            <w:tcW w:w="1617" w:type="dxa"/>
            <w:vAlign w:val="center"/>
          </w:tcPr>
          <w:p w14:paraId="3439C798">
            <w:pPr>
              <w:tabs>
                <w:tab w:val="left" w:pos="1588"/>
              </w:tabs>
              <w:spacing w:line="300" w:lineRule="exact"/>
              <w:jc w:val="center"/>
              <w:rPr>
                <w:rFonts w:hint="eastAsia" w:ascii="仿宋" w:eastAsia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恒盛诺德公司</w:t>
            </w:r>
          </w:p>
        </w:tc>
        <w:tc>
          <w:tcPr>
            <w:tcW w:w="5034" w:type="dxa"/>
            <w:vAlign w:val="center"/>
          </w:tcPr>
          <w:p w14:paraId="0B8022E8">
            <w:pPr>
              <w:tabs>
                <w:tab w:val="left" w:pos="1588"/>
              </w:tabs>
              <w:spacing w:line="300" w:lineRule="exact"/>
              <w:jc w:val="left"/>
              <w:rPr>
                <w:rFonts w:hint="eastAsia" w:asci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cs="仿宋"/>
                <w:sz w:val="21"/>
                <w:szCs w:val="21"/>
              </w:rPr>
              <w:t>未严格落实安全生产主体责任，未建立与岗位相匹配的全员安全生产责任制，安全管理制度和操作规程执行不到位，安全管理人员配备不到位；安全教育培训走过场，开展反“三违”警示教育不足；未将应急预案、应急知识、自救互救和避险逃生技能纳入经常性教育培训，员工应急知识匮乏，应急处置能力差；未对企业兼职应急救援队伍进行经常性的训练；未按照有关规范组织实施大修工作；未按照“两重点、一重大”要求对安全管理制度和操作规程实用性和有效性进行审核修订；安全风险辨识及隐患排查不全面、不彻底，对日常巡察和上级检查发现的问题，整改不彻底；未按规定时限向政府有关部门报告事故信息，未按规定对事故现场进行保护，对事故发生负主要责任</w:t>
            </w:r>
            <w:r>
              <w:rPr>
                <w:rFonts w:hint="eastAsia" w:ascii="仿宋" w:cs="仿宋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850" w:type="dxa"/>
            <w:vAlign w:val="center"/>
          </w:tcPr>
          <w:p w14:paraId="321B678F">
            <w:pPr>
              <w:tabs>
                <w:tab w:val="left" w:pos="1588"/>
              </w:tabs>
              <w:spacing w:line="300" w:lineRule="exact"/>
              <w:jc w:val="left"/>
              <w:rPr>
                <w:rFonts w:hint="eastAsia" w:ascii="仿宋" w:eastAsia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建议由渭南市应急管理局依据《中华人民共和国安全生产法》第一百一十四条第二款之规定，依法给予其行政处罚（</w:t>
            </w:r>
            <w:r>
              <w:rPr>
                <w:rFonts w:hint="eastAsia" w:ascii="仿宋" w:cs="仿宋"/>
                <w:sz w:val="21"/>
                <w:szCs w:val="21"/>
                <w:lang w:eastAsia="zh-CN"/>
              </w:rPr>
              <w:t>其他</w:t>
            </w:r>
            <w:r>
              <w:rPr>
                <w:rFonts w:hint="eastAsia" w:ascii="仿宋" w:cs="仿宋"/>
                <w:sz w:val="21"/>
                <w:szCs w:val="21"/>
              </w:rPr>
              <w:t>隐患整改、人员配备等问题合并处罚），并依据有关法律法规对其实施重点监管。</w:t>
            </w:r>
          </w:p>
        </w:tc>
        <w:tc>
          <w:tcPr>
            <w:tcW w:w="1417" w:type="dxa"/>
            <w:vAlign w:val="center"/>
          </w:tcPr>
          <w:p w14:paraId="5C2D7ADA">
            <w:pPr>
              <w:tabs>
                <w:tab w:val="left" w:pos="1588"/>
              </w:tabs>
              <w:spacing w:line="300" w:lineRule="exact"/>
              <w:jc w:val="left"/>
              <w:rPr>
                <w:rFonts w:hint="eastAsia" w:ascii="仿宋" w:eastAsia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渭南市应急管理局</w:t>
            </w:r>
          </w:p>
        </w:tc>
        <w:tc>
          <w:tcPr>
            <w:tcW w:w="2566" w:type="dxa"/>
            <w:vAlign w:val="center"/>
          </w:tcPr>
          <w:p w14:paraId="296D0785">
            <w:pPr>
              <w:tabs>
                <w:tab w:val="left" w:pos="1588"/>
              </w:tabs>
              <w:spacing w:line="300" w:lineRule="exact"/>
              <w:jc w:val="left"/>
              <w:rPr>
                <w:rFonts w:hint="eastAsia" w:ascii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2023年9月25日渭南市应急管理局对该企业进行了120万元的行政处罚。</w:t>
            </w:r>
          </w:p>
          <w:p w14:paraId="3CA6313E">
            <w:pPr>
              <w:tabs>
                <w:tab w:val="left" w:pos="1588"/>
              </w:tabs>
              <w:spacing w:line="300" w:lineRule="exact"/>
              <w:jc w:val="left"/>
              <w:rPr>
                <w:rFonts w:hint="eastAsia" w:ascii="仿宋" w:eastAsia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2023年2月27日渭南市应急管理局对该企业实施重点监管。</w:t>
            </w:r>
          </w:p>
        </w:tc>
      </w:tr>
      <w:tr w14:paraId="1D2E2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749" w:type="dxa"/>
            <w:vAlign w:val="center"/>
          </w:tcPr>
          <w:p w14:paraId="7EB244A2">
            <w:pPr>
              <w:tabs>
                <w:tab w:val="left" w:pos="1588"/>
              </w:tabs>
              <w:spacing w:line="300" w:lineRule="exact"/>
              <w:jc w:val="center"/>
              <w:rPr>
                <w:rFonts w:hint="eastAsia" w:ascii="仿宋" w:eastAsia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2</w:t>
            </w:r>
          </w:p>
        </w:tc>
        <w:tc>
          <w:tcPr>
            <w:tcW w:w="1617" w:type="dxa"/>
            <w:vAlign w:val="center"/>
          </w:tcPr>
          <w:p w14:paraId="18B830F3">
            <w:pPr>
              <w:tabs>
                <w:tab w:val="left" w:pos="1588"/>
              </w:tabs>
              <w:spacing w:line="300" w:lineRule="exact"/>
              <w:jc w:val="center"/>
              <w:rPr>
                <w:rFonts w:hint="eastAsia" w:ascii="仿宋" w:eastAsia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渭南市高新区应急管理局</w:t>
            </w:r>
          </w:p>
        </w:tc>
        <w:tc>
          <w:tcPr>
            <w:tcW w:w="5034" w:type="dxa"/>
            <w:vAlign w:val="center"/>
          </w:tcPr>
          <w:p w14:paraId="63B0E873">
            <w:pPr>
              <w:tabs>
                <w:tab w:val="left" w:pos="1588"/>
              </w:tabs>
              <w:spacing w:line="300" w:lineRule="exact"/>
              <w:jc w:val="left"/>
              <w:rPr>
                <w:rFonts w:hint="eastAsia" w:ascii="仿宋" w:eastAsia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/</w:t>
            </w:r>
          </w:p>
        </w:tc>
        <w:tc>
          <w:tcPr>
            <w:tcW w:w="2850" w:type="dxa"/>
            <w:vAlign w:val="center"/>
          </w:tcPr>
          <w:p w14:paraId="595D6DDB">
            <w:pPr>
              <w:tabs>
                <w:tab w:val="left" w:pos="1588"/>
              </w:tabs>
              <w:spacing w:line="300" w:lineRule="exact"/>
              <w:jc w:val="left"/>
              <w:rPr>
                <w:rFonts w:hint="eastAsia" w:ascii="仿宋" w:eastAsia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建议渭南市高新区应急管理局向渭南市高新区管委会作出书面检查</w:t>
            </w:r>
          </w:p>
        </w:tc>
        <w:tc>
          <w:tcPr>
            <w:tcW w:w="1417" w:type="dxa"/>
            <w:vAlign w:val="center"/>
          </w:tcPr>
          <w:p w14:paraId="507B1FAB">
            <w:pPr>
              <w:tabs>
                <w:tab w:val="left" w:pos="1588"/>
              </w:tabs>
              <w:spacing w:line="300" w:lineRule="exact"/>
              <w:jc w:val="left"/>
              <w:rPr>
                <w:rFonts w:hint="eastAsia" w:ascii="仿宋" w:eastAsia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渭南市高新区管委会</w:t>
            </w:r>
          </w:p>
        </w:tc>
        <w:tc>
          <w:tcPr>
            <w:tcW w:w="2566" w:type="dxa"/>
            <w:vAlign w:val="center"/>
          </w:tcPr>
          <w:p w14:paraId="6B3562F9">
            <w:pPr>
              <w:tabs>
                <w:tab w:val="left" w:pos="1588"/>
              </w:tabs>
              <w:spacing w:line="300" w:lineRule="exact"/>
              <w:jc w:val="left"/>
              <w:rPr>
                <w:rFonts w:hint="eastAsia" w:asci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cs="仿宋"/>
                <w:sz w:val="21"/>
                <w:szCs w:val="21"/>
              </w:rPr>
              <w:t>2023年6月2日渭南市高新区应急管理局向渭南市高新区管委会作出了书面检查。</w:t>
            </w:r>
          </w:p>
        </w:tc>
      </w:tr>
      <w:tr w14:paraId="084C7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9" w:type="dxa"/>
            <w:vAlign w:val="center"/>
          </w:tcPr>
          <w:p w14:paraId="7CE77AE4">
            <w:pPr>
              <w:tabs>
                <w:tab w:val="left" w:pos="1588"/>
              </w:tabs>
              <w:spacing w:line="300" w:lineRule="exact"/>
              <w:jc w:val="center"/>
              <w:rPr>
                <w:rFonts w:hint="eastAsia" w:ascii="仿宋" w:eastAsia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3</w:t>
            </w:r>
          </w:p>
        </w:tc>
        <w:tc>
          <w:tcPr>
            <w:tcW w:w="1617" w:type="dxa"/>
            <w:vAlign w:val="center"/>
          </w:tcPr>
          <w:p w14:paraId="40910378">
            <w:pPr>
              <w:tabs>
                <w:tab w:val="left" w:pos="1588"/>
              </w:tabs>
              <w:spacing w:line="300" w:lineRule="exact"/>
              <w:jc w:val="center"/>
              <w:rPr>
                <w:rFonts w:hint="eastAsia" w:ascii="仿宋" w:eastAsia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渭南市生态环境高新分局</w:t>
            </w:r>
          </w:p>
        </w:tc>
        <w:tc>
          <w:tcPr>
            <w:tcW w:w="5034" w:type="dxa"/>
            <w:vAlign w:val="center"/>
          </w:tcPr>
          <w:p w14:paraId="51C8CFCB">
            <w:pPr>
              <w:tabs>
                <w:tab w:val="left" w:pos="1588"/>
              </w:tabs>
              <w:spacing w:line="300" w:lineRule="exact"/>
              <w:jc w:val="left"/>
              <w:rPr>
                <w:rFonts w:hint="eastAsia" w:ascii="仿宋" w:eastAsia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/</w:t>
            </w:r>
          </w:p>
        </w:tc>
        <w:tc>
          <w:tcPr>
            <w:tcW w:w="2850" w:type="dxa"/>
            <w:vAlign w:val="center"/>
          </w:tcPr>
          <w:p w14:paraId="3CCD9C3B">
            <w:pPr>
              <w:tabs>
                <w:tab w:val="left" w:pos="1588"/>
              </w:tabs>
              <w:spacing w:line="300" w:lineRule="exact"/>
              <w:jc w:val="left"/>
              <w:rPr>
                <w:rFonts w:hint="eastAsia" w:ascii="仿宋" w:eastAsia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建议渭南市生态环境高新分局向渭南市高新区管委会作出书面检查</w:t>
            </w:r>
          </w:p>
        </w:tc>
        <w:tc>
          <w:tcPr>
            <w:tcW w:w="1417" w:type="dxa"/>
            <w:vAlign w:val="center"/>
          </w:tcPr>
          <w:p w14:paraId="19371D6F">
            <w:pPr>
              <w:tabs>
                <w:tab w:val="left" w:pos="1588"/>
              </w:tabs>
              <w:spacing w:line="300" w:lineRule="exact"/>
              <w:jc w:val="left"/>
              <w:rPr>
                <w:rFonts w:hint="eastAsia" w:ascii="仿宋" w:eastAsia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渭南市高新区管委会</w:t>
            </w:r>
          </w:p>
        </w:tc>
        <w:tc>
          <w:tcPr>
            <w:tcW w:w="2566" w:type="dxa"/>
            <w:vAlign w:val="center"/>
          </w:tcPr>
          <w:p w14:paraId="2AC09AE9">
            <w:pPr>
              <w:tabs>
                <w:tab w:val="left" w:pos="1588"/>
              </w:tabs>
              <w:spacing w:line="300" w:lineRule="exact"/>
              <w:jc w:val="left"/>
              <w:rPr>
                <w:rFonts w:hint="eastAsia" w:asci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cs="仿宋"/>
                <w:sz w:val="21"/>
                <w:szCs w:val="21"/>
              </w:rPr>
              <w:t>2023年6月12日渭南市生态环境高新分局向渭南市高新区管委会作出了书面检查。</w:t>
            </w:r>
          </w:p>
        </w:tc>
      </w:tr>
      <w:tr w14:paraId="12D14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9" w:type="dxa"/>
            <w:vAlign w:val="center"/>
          </w:tcPr>
          <w:p w14:paraId="32725C57">
            <w:pPr>
              <w:tabs>
                <w:tab w:val="left" w:pos="1588"/>
              </w:tabs>
              <w:spacing w:line="300" w:lineRule="exact"/>
              <w:jc w:val="center"/>
              <w:rPr>
                <w:rFonts w:hint="eastAsia" w:ascii="仿宋" w:eastAsia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4</w:t>
            </w:r>
          </w:p>
        </w:tc>
        <w:tc>
          <w:tcPr>
            <w:tcW w:w="1617" w:type="dxa"/>
            <w:vAlign w:val="center"/>
          </w:tcPr>
          <w:p w14:paraId="13D1895D">
            <w:pPr>
              <w:tabs>
                <w:tab w:val="left" w:pos="1588"/>
              </w:tabs>
              <w:spacing w:line="300" w:lineRule="exact"/>
              <w:jc w:val="center"/>
              <w:rPr>
                <w:rFonts w:hint="eastAsia" w:ascii="仿宋" w:eastAsia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渭南市高新区管委会</w:t>
            </w:r>
          </w:p>
        </w:tc>
        <w:tc>
          <w:tcPr>
            <w:tcW w:w="5034" w:type="dxa"/>
            <w:vAlign w:val="center"/>
          </w:tcPr>
          <w:p w14:paraId="0224C67F">
            <w:pPr>
              <w:tabs>
                <w:tab w:val="left" w:pos="1588"/>
              </w:tabs>
              <w:spacing w:line="300" w:lineRule="exact"/>
              <w:jc w:val="left"/>
              <w:rPr>
                <w:rFonts w:hint="eastAsia" w:ascii="仿宋" w:eastAsia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/</w:t>
            </w:r>
          </w:p>
        </w:tc>
        <w:tc>
          <w:tcPr>
            <w:tcW w:w="2850" w:type="dxa"/>
            <w:vAlign w:val="center"/>
          </w:tcPr>
          <w:p w14:paraId="1C6C14DE">
            <w:pPr>
              <w:tabs>
                <w:tab w:val="left" w:pos="1588"/>
              </w:tabs>
              <w:spacing w:line="300" w:lineRule="exact"/>
              <w:jc w:val="left"/>
              <w:rPr>
                <w:rFonts w:hint="eastAsia" w:ascii="仿宋" w:eastAsia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渭南市高新区管委会向渭南市政府作出书面检查。</w:t>
            </w:r>
          </w:p>
        </w:tc>
        <w:tc>
          <w:tcPr>
            <w:tcW w:w="1417" w:type="dxa"/>
            <w:vAlign w:val="center"/>
          </w:tcPr>
          <w:p w14:paraId="25031992">
            <w:pPr>
              <w:tabs>
                <w:tab w:val="left" w:pos="1588"/>
              </w:tabs>
              <w:spacing w:line="300" w:lineRule="exact"/>
              <w:jc w:val="left"/>
              <w:rPr>
                <w:rFonts w:hint="eastAsia" w:ascii="仿宋" w:eastAsia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渭南市政府</w:t>
            </w:r>
          </w:p>
        </w:tc>
        <w:tc>
          <w:tcPr>
            <w:tcW w:w="2566" w:type="dxa"/>
            <w:vAlign w:val="center"/>
          </w:tcPr>
          <w:p w14:paraId="7A2AFE3E">
            <w:pPr>
              <w:tabs>
                <w:tab w:val="left" w:pos="1588"/>
              </w:tabs>
              <w:spacing w:line="300" w:lineRule="exact"/>
              <w:jc w:val="left"/>
              <w:rPr>
                <w:rFonts w:hint="eastAsia" w:ascii="仿宋" w:eastAsia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2023年5月25日渭南市高新区管委会向渭南市政府作出了书面检查。</w:t>
            </w:r>
          </w:p>
        </w:tc>
      </w:tr>
      <w:tr w14:paraId="5CB5B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9" w:type="dxa"/>
            <w:vAlign w:val="center"/>
          </w:tcPr>
          <w:p w14:paraId="444B9D20">
            <w:pPr>
              <w:tabs>
                <w:tab w:val="left" w:pos="1588"/>
              </w:tabs>
              <w:spacing w:line="300" w:lineRule="exact"/>
              <w:jc w:val="center"/>
              <w:rPr>
                <w:rFonts w:hint="eastAsia" w:ascii="仿宋" w:eastAsia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5</w:t>
            </w:r>
          </w:p>
        </w:tc>
        <w:tc>
          <w:tcPr>
            <w:tcW w:w="1617" w:type="dxa"/>
            <w:vAlign w:val="center"/>
          </w:tcPr>
          <w:p w14:paraId="4D8C3D66">
            <w:pPr>
              <w:tabs>
                <w:tab w:val="left" w:pos="1588"/>
              </w:tabs>
              <w:spacing w:line="300" w:lineRule="exact"/>
              <w:jc w:val="center"/>
              <w:rPr>
                <w:rFonts w:hint="eastAsia" w:ascii="仿宋" w:eastAsia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渭南市高新区管委会</w:t>
            </w:r>
          </w:p>
        </w:tc>
        <w:tc>
          <w:tcPr>
            <w:tcW w:w="5034" w:type="dxa"/>
            <w:vAlign w:val="center"/>
          </w:tcPr>
          <w:p w14:paraId="57DBB746">
            <w:pPr>
              <w:tabs>
                <w:tab w:val="left" w:pos="1588"/>
              </w:tabs>
              <w:spacing w:line="300" w:lineRule="exact"/>
              <w:jc w:val="left"/>
              <w:rPr>
                <w:rFonts w:hint="eastAsia" w:ascii="仿宋" w:eastAsia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/</w:t>
            </w:r>
          </w:p>
        </w:tc>
        <w:tc>
          <w:tcPr>
            <w:tcW w:w="2850" w:type="dxa"/>
            <w:vAlign w:val="center"/>
          </w:tcPr>
          <w:p w14:paraId="0C76E324">
            <w:pPr>
              <w:tabs>
                <w:tab w:val="left" w:pos="1588"/>
              </w:tabs>
              <w:spacing w:line="300" w:lineRule="exact"/>
              <w:jc w:val="left"/>
              <w:rPr>
                <w:rFonts w:hint="eastAsia" w:ascii="仿宋" w:eastAsia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责成渭南市人民政府对渭南市高新区管委会进行约谈。</w:t>
            </w:r>
          </w:p>
        </w:tc>
        <w:tc>
          <w:tcPr>
            <w:tcW w:w="1417" w:type="dxa"/>
            <w:vAlign w:val="center"/>
          </w:tcPr>
          <w:p w14:paraId="4B5FA312">
            <w:pPr>
              <w:tabs>
                <w:tab w:val="left" w:pos="1588"/>
              </w:tabs>
              <w:spacing w:line="300" w:lineRule="exact"/>
              <w:jc w:val="left"/>
              <w:rPr>
                <w:rFonts w:hint="eastAsia" w:ascii="仿宋" w:eastAsia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渭南市政府</w:t>
            </w:r>
          </w:p>
        </w:tc>
        <w:tc>
          <w:tcPr>
            <w:tcW w:w="2566" w:type="dxa"/>
            <w:vAlign w:val="center"/>
          </w:tcPr>
          <w:p w14:paraId="35EFAA2F">
            <w:pPr>
              <w:tabs>
                <w:tab w:val="left" w:pos="1588"/>
              </w:tabs>
              <w:spacing w:line="300" w:lineRule="exact"/>
              <w:jc w:val="left"/>
              <w:rPr>
                <w:rFonts w:hint="eastAsia" w:asci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cs="仿宋"/>
                <w:sz w:val="21"/>
                <w:szCs w:val="21"/>
              </w:rPr>
              <w:t>2023年11月8日渭南市人民政府对渭南市高新区管委会进行了约谈。</w:t>
            </w:r>
          </w:p>
        </w:tc>
      </w:tr>
    </w:tbl>
    <w:p w14:paraId="72DB1512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B43D81"/>
    <w:rsid w:val="56B4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3"/>
    <w:next w:val="1"/>
    <w:uiPriority w:val="0"/>
    <w:rPr>
      <w:rFonts w:ascii="Times New Roman" w:hAnsi="Times New Roman"/>
      <w:szCs w:val="20"/>
    </w:rPr>
  </w:style>
  <w:style w:type="paragraph" w:styleId="3">
    <w:name w:val="Document Map"/>
    <w:basedOn w:val="1"/>
    <w:next w:val="4"/>
    <w:uiPriority w:val="0"/>
    <w:rPr>
      <w:rFonts w:ascii="宋体" w:eastAsia="宋体" w:cs="Times New Roman"/>
      <w:sz w:val="18"/>
      <w:szCs w:val="18"/>
    </w:rPr>
  </w:style>
  <w:style w:type="paragraph" w:styleId="4">
    <w:name w:val="toc 5"/>
    <w:basedOn w:val="1"/>
    <w:next w:val="1"/>
    <w:qFormat/>
    <w:uiPriority w:val="0"/>
    <w:pPr>
      <w:ind w:left="1680"/>
    </w:pPr>
  </w:style>
  <w:style w:type="paragraph" w:styleId="5">
    <w:name w:val="Normal (Web)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Times New Roman" w:eastAsia="宋体" w:cs="宋体"/>
      <w:kern w:val="0"/>
      <w:sz w:val="24"/>
      <w:szCs w:val="24"/>
      <w:lang w:val="en-US" w:eastAsia="zh-CN" w:bidi="ar-SA"/>
    </w:rPr>
  </w:style>
  <w:style w:type="paragraph" w:customStyle="1" w:styleId="8">
    <w:name w:val="正文首行缩进 21"/>
    <w:next w:val="5"/>
    <w:uiPriority w:val="0"/>
    <w:pPr>
      <w:widowControl w:val="0"/>
      <w:ind w:left="200" w:leftChars="200" w:firstLine="200" w:firstLineChars="200"/>
      <w:jc w:val="both"/>
    </w:pPr>
    <w:rPr>
      <w:rFonts w:ascii="Calibri" w:hAnsi="Calibri" w:eastAsia="仿宋" w:cs="Arial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2025-02-19T01:27:00Z</dcterms:created>
  <dc:creator>word科科～</dc:creator>
  <cp:lastModifiedBy>word科科～</cp:lastModifiedBy>
  <dcterms:modified xsi:type="dcterms:W3CDTF">2025-02-19T01:28:12Z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ECFD624F2BEE44C7AD380F3341A98037_11</vt:lpwstr>
  </property>
  <property fmtid="{D5CDD505-2E9C-101B-9397-08002B2CF9AE}" pid="4" name="KSOTemplateDocerSaveRecord">
    <vt:lpwstr>eyJoZGlkIjoiNzFhNDgyZTBlMGU5NjA3NDU3ZGQ3YzIwMjc0YzNmMDgiLCJ1c2VySWQiOiIzMDgxMTM4MTMifQ==</vt:lpwstr>
  </property>
</Properties>
</file>