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E9B50">
      <w:pPr>
        <w:pStyle w:val="54"/>
        <w:framePr w:w="9639" w:h="624" w:hRule="exact" w:hSpace="181" w:vSpace="181" w:wrap="around" w:hAnchor="page" w:x="1386" w:y="2733"/>
      </w:pPr>
      <w:bookmarkStart w:id="0" w:name="_Hlk26473981"/>
      <w:r>
        <w:rPr>
          <w:rFonts w:hint="eastAsia"/>
        </w:rPr>
        <w:t>中华人民共和国国家标准</w:t>
      </w:r>
    </w:p>
    <w:bookmarkEnd w:id="0"/>
    <w:p w14:paraId="05291246">
      <w:pPr>
        <w:pStyle w:val="200"/>
        <w:framePr w:h="396" w:hRule="exact" w:x="1445" w:y="3666"/>
        <w:rPr>
          <w:rFonts w:hint="eastAsia" w:hAnsi="黑体"/>
        </w:rPr>
      </w:pPr>
      <w:r>
        <w:fldChar w:fldCharType="begin">
          <w:ffData>
            <w:name w:val="文字1"/>
            <w:enabled/>
            <w:calcOnExit w:val="0"/>
            <w:textInput>
              <w:default w:val="GB/T"/>
            </w:textInput>
          </w:ffData>
        </w:fldChar>
      </w:r>
      <w:bookmarkStart w:id="1" w:name="文字1"/>
      <w:r>
        <w:rPr>
          <w:lang w:val="fr-FR"/>
        </w:rPr>
        <w:instrText xml:space="preserve"> FORMTEXT </w:instrText>
      </w:r>
      <w:r>
        <w:fldChar w:fldCharType="separate"/>
      </w:r>
      <w:r>
        <w:rPr>
          <w:lang w:val="fr-FR"/>
        </w:rPr>
        <w:t>GB/T</w:t>
      </w:r>
      <w:r>
        <w:fldChar w:fldCharType="end"/>
      </w:r>
      <w:bookmarkEnd w:id="1"/>
      <w:r>
        <w:rPr>
          <w:lang w:val="fr-FR"/>
        </w:rPr>
        <w:t xml:space="preserve"> </w:t>
      </w:r>
      <w:r>
        <w:fldChar w:fldCharType="begin">
          <w:ffData>
            <w:name w:val="NSTD_CODE_F"/>
            <w:enabled/>
            <w:calcOnExit w:val="0"/>
            <w:textInput>
              <w:default w:val="XXXXX"/>
            </w:textInput>
          </w:ffData>
        </w:fldChar>
      </w:r>
      <w:bookmarkStart w:id="2" w:name="NSTD_CODE_F"/>
      <w:r>
        <w:rPr>
          <w:lang w:val="fr-FR"/>
        </w:rPr>
        <w:instrText xml:space="preserve"> FORMTEXT </w:instrText>
      </w:r>
      <w:r>
        <w:fldChar w:fldCharType="separate"/>
      </w:r>
      <w:r>
        <w:rPr>
          <w:lang w:val="fr-FR"/>
        </w:rPr>
        <w:t>XXXXX</w:t>
      </w:r>
      <w:r>
        <w:fldChar w:fldCharType="end"/>
      </w:r>
      <w:bookmarkEnd w:id="2"/>
      <w:r>
        <w:rPr>
          <w:rFonts w:hAnsi="黑体"/>
          <w:lang w:val="fr-FR"/>
        </w:rPr>
        <w:t>—</w:t>
      </w:r>
      <w:r>
        <w:fldChar w:fldCharType="begin">
          <w:ffData>
            <w:name w:val="NSTD_CODE_B"/>
            <w:enabled/>
            <w:calcOnExit w:val="0"/>
            <w:textInput>
              <w:default w:val="XXXX"/>
            </w:textInput>
          </w:ffData>
        </w:fldChar>
      </w:r>
      <w:bookmarkStart w:id="3" w:name="NSTD_CODE_B"/>
      <w:r>
        <w:rPr>
          <w:lang w:val="fr-FR"/>
        </w:rPr>
        <w:instrText xml:space="preserve"> FORMTEXT </w:instrText>
      </w:r>
      <w:r>
        <w:fldChar w:fldCharType="separate"/>
      </w:r>
      <w:r>
        <w:rPr>
          <w:lang w:val="fr-FR"/>
        </w:rPr>
        <w:t>XXXX</w:t>
      </w:r>
      <w:r>
        <w:fldChar w:fldCharType="end"/>
      </w:r>
      <w:bookmarkEnd w:id="3"/>
    </w:p>
    <w:p w14:paraId="13AEC27A">
      <w:pPr>
        <w:widowControl/>
        <w:tabs>
          <w:tab w:val="left" w:pos="5040"/>
        </w:tabs>
        <w:adjustRightInd/>
        <w:spacing w:line="560" w:lineRule="exact"/>
        <w:rPr>
          <w:rFonts w:hint="eastAsia" w:ascii="宋体" w:hAnsi="宋体" w:eastAsia="方正公文黑体" w:cs="方正公文黑体"/>
          <w:sz w:val="32"/>
          <w:szCs w:val="32"/>
          <w:lang w:eastAsia="zh-CN"/>
        </w:rPr>
      </w:pPr>
      <w:r>
        <w:rPr>
          <w:rFonts w:hint="eastAsia" w:ascii="宋体" w:hAnsi="宋体" w:eastAsia="方正公文黑体" w:cs="方正公文黑体"/>
          <w:sz w:val="32"/>
          <w:szCs w:val="32"/>
        </w:rPr>
        <w:t>附件</w:t>
      </w:r>
      <w:r>
        <w:rPr>
          <w:rFonts w:hint="eastAsia" w:ascii="宋体" w:hAnsi="宋体" w:eastAsia="方正公文黑体" w:cs="宋体"/>
          <w:sz w:val="32"/>
          <w:szCs w:val="32"/>
          <w:lang w:val="en-US" w:eastAsia="zh-CN"/>
        </w:rPr>
        <w:t>2</w:t>
      </w:r>
    </w:p>
    <w:p w14:paraId="32677AE4">
      <w:pPr>
        <w:spacing w:line="240" w:lineRule="auto"/>
        <w:rPr>
          <w:rFonts w:hint="eastAsia"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1312;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6E25BFD">
      <w:pPr>
        <w:pStyle w:val="54"/>
        <w:framePr w:w="9639" w:h="6976" w:hRule="exact" w:hSpace="0" w:vSpace="0" w:wrap="around" w:hAnchor="page" w:y="6408"/>
        <w:jc w:val="center"/>
        <w:rPr>
          <w:rFonts w:hint="eastAsia" w:ascii="黑体" w:hAnsi="黑体" w:eastAsia="黑体"/>
          <w:b w:val="0"/>
          <w:bCs w:val="0"/>
          <w:w w:val="100"/>
        </w:rPr>
      </w:pPr>
    </w:p>
    <w:p w14:paraId="74EFC69C">
      <w:pPr>
        <w:pStyle w:val="202"/>
        <w:framePr w:w="9267" w:h="3772" w:hRule="exact" w:wrap="around" w:x="1419" w:anchorLock="1"/>
        <w:rPr>
          <w:rFonts w:hint="eastAsia"/>
        </w:rPr>
      </w:pPr>
      <w:r>
        <w:fldChar w:fldCharType="begin">
          <w:ffData>
            <w:name w:val="CSTD_NAME"/>
            <w:enabled/>
            <w:calcOnExit w:val="0"/>
            <w:textInput>
              <w:default w:val="点击此处添加标准名称"/>
            </w:textInput>
          </w:ffData>
        </w:fldChar>
      </w:r>
      <w:bookmarkStart w:id="4" w:name="CSTD_NAME"/>
      <w:r>
        <w:instrText xml:space="preserve"> FORMTEXT </w:instrText>
      </w:r>
      <w:r>
        <w:fldChar w:fldCharType="separate"/>
      </w:r>
      <w:r>
        <w:t>应急预案情景构建方法</w:t>
      </w:r>
      <w:r>
        <w:fldChar w:fldCharType="end"/>
      </w:r>
      <w:bookmarkEnd w:id="4"/>
    </w:p>
    <w:p w14:paraId="2DA33660">
      <w:pPr>
        <w:framePr w:w="9267" w:h="3772" w:hRule="exact" w:wrap="around" w:vAnchor="page" w:hAnchor="page" w:x="1419" w:y="6408" w:anchorLock="1"/>
        <w:ind w:left="-1418"/>
      </w:pPr>
    </w:p>
    <w:p w14:paraId="6969C356">
      <w:pPr>
        <w:pStyle w:val="130"/>
        <w:framePr w:w="9267" w:h="3772"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cenario construction method for emergency plan"/>
            </w:textInput>
          </w:ffData>
        </w:fldChar>
      </w:r>
      <w:bookmarkStart w:id="5" w:name="ESTD_NAME"/>
      <w:r>
        <w:rPr>
          <w:rFonts w:eastAsia="黑体"/>
          <w:szCs w:val="28"/>
        </w:rPr>
        <w:instrText xml:space="preserve"> FORMTEXT </w:instrText>
      </w:r>
      <w:r>
        <w:rPr>
          <w:rFonts w:eastAsia="黑体"/>
          <w:szCs w:val="28"/>
        </w:rPr>
        <w:fldChar w:fldCharType="separate"/>
      </w:r>
      <w:r>
        <w:rPr>
          <w:rFonts w:eastAsia="黑体"/>
          <w:szCs w:val="28"/>
        </w:rPr>
        <w:t>Scenario construction method for emergency plan</w:t>
      </w:r>
      <w:r>
        <w:rPr>
          <w:rFonts w:eastAsia="黑体"/>
          <w:szCs w:val="28"/>
        </w:rPr>
        <w:fldChar w:fldCharType="end"/>
      </w:r>
      <w:bookmarkEnd w:id="5"/>
    </w:p>
    <w:p w14:paraId="19779881">
      <w:pPr>
        <w:framePr w:w="9267" w:h="3772" w:hRule="exact" w:wrap="around" w:vAnchor="page" w:hAnchor="page" w:x="1419" w:y="6408" w:anchorLock="1"/>
        <w:spacing w:line="360" w:lineRule="auto"/>
      </w:pPr>
    </w:p>
    <w:p w14:paraId="1C2253AC">
      <w:pPr>
        <w:pStyle w:val="130"/>
        <w:framePr w:w="9267" w:h="3772" w:hRule="exact" w:wrap="around" w:vAnchor="page" w:hAnchor="page" w:x="1419" w:y="6408" w:anchorLock="1"/>
        <w:spacing w:line="360" w:lineRule="auto"/>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6" w:name="下拉1"/>
      <w:r>
        <w:rPr>
          <w:sz w:val="24"/>
          <w:szCs w:val="28"/>
        </w:rPr>
        <w:instrText xml:space="preserve"> FORMDROPDOWN </w:instrText>
      </w:r>
      <w:r>
        <w:rPr>
          <w:sz w:val="24"/>
          <w:szCs w:val="28"/>
        </w:rPr>
        <w:fldChar w:fldCharType="separate"/>
      </w:r>
      <w:r>
        <w:rPr>
          <w:sz w:val="24"/>
          <w:szCs w:val="28"/>
        </w:rPr>
        <w:fldChar w:fldCharType="end"/>
      </w:r>
      <w:bookmarkEnd w:id="6"/>
    </w:p>
    <w:p w14:paraId="6BF0B9E9">
      <w:pPr>
        <w:pStyle w:val="198"/>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p>
    <w:p w14:paraId="0D1903FA">
      <w:pPr>
        <w:pStyle w:val="199"/>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14:paraId="13BA49B1">
      <w:pPr>
        <w:rPr>
          <w:rFonts w:hint="eastAsia" w:ascii="宋体" w:hAnsi="宋体"/>
          <w:sz w:val="28"/>
          <w:szCs w:val="28"/>
        </w:rPr>
      </w:pPr>
      <w:r>
        <w:rPr>
          <w:rFonts w:ascii="黑体" w:hAnsi="黑体" w:eastAsia="黑体"/>
          <w:kern w:val="0"/>
          <w:sz w:val="52"/>
          <w:szCs w:val="20"/>
        </w:rPr>
        <w:drawing>
          <wp:anchor distT="0" distB="0" distL="114300" distR="114300" simplePos="0" relativeHeight="251660288" behindDoc="0" locked="0" layoutInCell="1" allowOverlap="0">
            <wp:simplePos x="0" y="0"/>
            <wp:positionH relativeFrom="page">
              <wp:posOffset>5344795</wp:posOffset>
            </wp:positionH>
            <wp:positionV relativeFrom="page">
              <wp:posOffset>697230</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r>
        <w:rPr>
          <w:rFonts w:hint="eastAsia" w:ascii="宋体" w:hAnsi="宋体"/>
          <w:sz w:val="28"/>
          <w:szCs w:val="28"/>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mc:AlternateContent>
          <mc:Choice Requires="wps">
            <w:drawing>
              <wp:anchor distT="0" distB="0" distL="114300" distR="114300" simplePos="0" relativeHeight="251663360" behindDoc="0" locked="1" layoutInCell="1" allowOverlap="1">
                <wp:simplePos x="0" y="0"/>
                <wp:positionH relativeFrom="column">
                  <wp:posOffset>9525</wp:posOffset>
                </wp:positionH>
                <wp:positionV relativeFrom="page">
                  <wp:posOffset>718185</wp:posOffset>
                </wp:positionV>
                <wp:extent cx="1645920" cy="782955"/>
                <wp:effectExtent l="0" t="0" r="5080" b="4445"/>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645920" cy="782955"/>
                        </a:xfrm>
                        <a:prstGeom prst="rect">
                          <a:avLst/>
                        </a:prstGeom>
                        <a:solidFill>
                          <a:srgbClr val="FFFFFF"/>
                        </a:solidFill>
                        <a:ln>
                          <a:noFill/>
                        </a:ln>
                        <a:effectLst/>
                      </wps:spPr>
                      <wps:txbx>
                        <w:txbxContent>
                          <w:p w14:paraId="42DB043D">
                            <w:pPr>
                              <w:snapToGrid w:val="0"/>
                              <w:jc w:val="left"/>
                              <w:rPr>
                                <w:rFonts w:ascii="黑体" w:eastAsia="黑体"/>
                              </w:rPr>
                            </w:pPr>
                            <w:r>
                              <w:rPr>
                                <w:rFonts w:ascii="黑体" w:eastAsia="黑体"/>
                              </w:rPr>
                              <w:t>ICS 13.</w:t>
                            </w:r>
                            <w:r>
                              <w:rPr>
                                <w:rFonts w:hint="eastAsia" w:ascii="黑体" w:eastAsia="黑体"/>
                              </w:rPr>
                              <w:t>2</w:t>
                            </w:r>
                            <w:r>
                              <w:rPr>
                                <w:rFonts w:ascii="黑体" w:eastAsia="黑体"/>
                              </w:rPr>
                              <w:t>00</w:t>
                            </w:r>
                            <w:r>
                              <w:rPr>
                                <w:rFonts w:ascii="黑体" w:eastAsia="黑体"/>
                                <w:b/>
                              </w:rPr>
                              <w:br w:type="textWrapping"/>
                            </w:r>
                            <w:r>
                              <w:rPr>
                                <w:rFonts w:hint="eastAsia" w:ascii="黑体" w:eastAsia="黑体"/>
                                <w:b/>
                              </w:rPr>
                              <w:t>CCS</w:t>
                            </w:r>
                            <w:r>
                              <w:rPr>
                                <w:rFonts w:hint="eastAsia" w:ascii="黑体" w:eastAsia="黑体"/>
                              </w:rPr>
                              <w:t xml:space="preserve"> </w:t>
                            </w:r>
                            <w:r>
                              <w:rPr>
                                <w:rFonts w:ascii="黑体" w:eastAsia="黑体"/>
                              </w:rPr>
                              <w:t xml:space="preserve">C </w:t>
                            </w:r>
                            <w:r>
                              <w:rPr>
                                <w:rFonts w:hint="eastAsia" w:ascii="黑体" w:eastAsia="黑体"/>
                              </w:rPr>
                              <w:t>78</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0.75pt;margin-top:56.55pt;height:61.65pt;width:129.6pt;mso-position-vertical-relative:page;z-index:251663360;mso-width-relative:page;mso-height-relative:page;" fillcolor="#FFFFFF" filled="t" stroked="f" coordsize="21600,21600" o:gfxdata="UEsDBAoAAAAAAIdO4kAAAAAAAAAAAAAAAAAEAAAAZHJzL1BLAwQUAAAACACHTuJAFN6E2dQAAAAJ&#10;AQAADwAAAGRycy9kb3ducmV2LnhtbE1PPU/DMBDdkfgP1iGxUdstDSjE6YDEgjrQwsB4jU0cEp9D&#10;7LTl33NMMN09vaf3UW3OYRBHN6UukgG9UCAcNdF21Bp4e326uQeRMpLFIZIz8O0SbOrLiwpLG0+0&#10;c8d9bgWbUCrRgM95LKVMjXcB0yKOjpj7iFPAzHBqpZ3wxOZhkEulChmwI07wOLpH75p+PwcO2aZm&#10;3sWvT73t5bvvC1y/+Gdjrq+0egCR3Tn/ieG3PleHmjsd4kw2iYHxmoV89EqDYH5ZqDsQB35WxS3I&#10;upL/F9Q/UEsDBBQAAAAIAIdO4kBfR3unMAIAAE4EAAAOAAAAZHJzL2Uyb0RvYy54bWytVM2O0zAQ&#10;viPxDpbvNG1p9ydqulpaFSEtP9LCA7iO01gkHjN2m5QHYN+AExfuPFefg7GTlrJc9kAOke0ZfzPf&#10;N18yu2nriu0UOg0m46PBkDNlJOTabDL+6ePqxRVnzguTiwqMyvheOX4zf/5s1thUjaGEKlfICMS4&#10;tLEZL723aZI4WapauAFYZShYANbC0xY3SY6iIfS6SsbD4UXSAOYWQSrn6HTZBXmPiE8BhKLQUi1B&#10;bmtlfIeKqhKeKLlSW8fnsduiUNK/LwqnPKsyTkx9fFMRWq/DO5nPRLpBYUst+xbEU1p4xKkW2lDR&#10;E9RSeMG2qP+BqrVEcFD4gYQ66YhERYjFaPhIm/tSWBW5kNTOnkR3/w9Wvtt9QKbzjI9fcmZETRM/&#10;fH84/Ph1+PmN0RkJ1FiXUt69pUzfvoKWbBPJOnsH8rNjBhalMBt1iwhNqURODY7CzeTsaofjAsi6&#10;eQs5FRJbDxGoLbAO6pEejNBpOPvTcFTrmQwlLybT6zGFJMUur8bX02ksIdLjbYvOv1ZQs7DIONLw&#10;I7rY3TkfuhHpMSUUc1DpfKWrKm5ws15UyHaCjLKKT4/+V1plQrKBcK1D7E5UtFpfJpAOPDvGvl23&#10;vYhryPdEH6GzIX2EtCgBv3LWkAUz7r5sBSrOqjeGJLweTSbBs3EzmV4G8ngeWZ9HhJEElXHPWbdc&#10;+M7nW4t6U1Kl49BuSfaVjoqEVruu+mGRzaJQ/ScRfHy+j1l/fgP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TehNnUAAAACQEAAA8AAAAAAAAAAQAgAAAAIgAAAGRycy9kb3ducmV2LnhtbFBLAQIU&#10;ABQAAAAIAIdO4kBfR3unMAIAAE4EAAAOAAAAAAAAAAEAIAAAACMBAABkcnMvZTJvRG9jLnhtbFBL&#10;BQYAAAAABgAGAFkBAADFBQAAAAA=&#10;">
                <v:fill on="t" focussize="0,0"/>
                <v:stroke on="f"/>
                <v:imagedata o:title=""/>
                <o:lock v:ext="edit" aspectratio="f"/>
                <v:textbox style="mso-fit-shape-to-text:t;">
                  <w:txbxContent>
                    <w:p w14:paraId="42DB043D">
                      <w:pPr>
                        <w:snapToGrid w:val="0"/>
                        <w:jc w:val="left"/>
                        <w:rPr>
                          <w:rFonts w:ascii="黑体" w:eastAsia="黑体"/>
                        </w:rPr>
                      </w:pPr>
                      <w:r>
                        <w:rPr>
                          <w:rFonts w:ascii="黑体" w:eastAsia="黑体"/>
                        </w:rPr>
                        <w:t>ICS 13.</w:t>
                      </w:r>
                      <w:r>
                        <w:rPr>
                          <w:rFonts w:hint="eastAsia" w:ascii="黑体" w:eastAsia="黑体"/>
                        </w:rPr>
                        <w:t>2</w:t>
                      </w:r>
                      <w:r>
                        <w:rPr>
                          <w:rFonts w:ascii="黑体" w:eastAsia="黑体"/>
                        </w:rPr>
                        <w:t>00</w:t>
                      </w:r>
                      <w:r>
                        <w:rPr>
                          <w:rFonts w:ascii="黑体" w:eastAsia="黑体"/>
                          <w:b/>
                        </w:rPr>
                        <w:br w:type="textWrapping"/>
                      </w:r>
                      <w:r>
                        <w:rPr>
                          <w:rFonts w:hint="eastAsia" w:ascii="黑体" w:eastAsia="黑体"/>
                          <w:b/>
                        </w:rPr>
                        <w:t>CCS</w:t>
                      </w:r>
                      <w:r>
                        <w:rPr>
                          <w:rFonts w:hint="eastAsia" w:ascii="黑体" w:eastAsia="黑体"/>
                        </w:rPr>
                        <w:t xml:space="preserve"> </w:t>
                      </w:r>
                      <w:r>
                        <w:rPr>
                          <w:rFonts w:ascii="黑体" w:eastAsia="黑体"/>
                        </w:rPr>
                        <w:t xml:space="preserve">C </w:t>
                      </w:r>
                      <w:r>
                        <w:rPr>
                          <w:rFonts w:hint="eastAsia" w:ascii="黑体" w:eastAsia="黑体"/>
                        </w:rPr>
                        <w:t>78</w:t>
                      </w:r>
                    </w:p>
                  </w:txbxContent>
                </v:textbox>
                <w10:anchorlock/>
              </v:shape>
            </w:pict>
          </mc:Fallback>
        </mc:AlternateContent>
      </w:r>
      <w:r>
        <w:rPr>
          <w:rFonts w:hint="eastAsia" w:ascii="宋体" w:hAnsi="宋体"/>
          <w:sz w:val="28"/>
          <w:szCs w:val="28"/>
        </w:rPr>
        <w:t>\</w:t>
      </w:r>
    </w:p>
    <w:p w14:paraId="6CA9C3CB">
      <w:pPr>
        <w:rPr>
          <w:rFonts w:hint="eastAsia" w:ascii="宋体" w:hAnsi="宋体"/>
          <w:sz w:val="28"/>
          <w:szCs w:val="28"/>
        </w:rPr>
      </w:pPr>
    </w:p>
    <w:p w14:paraId="47C9414D">
      <w:pPr>
        <w:rPr>
          <w:rFonts w:hint="eastAsia" w:ascii="宋体" w:hAnsi="宋体"/>
          <w:sz w:val="28"/>
          <w:szCs w:val="28"/>
        </w:rPr>
      </w:pPr>
    </w:p>
    <w:p w14:paraId="0EDAF8DF">
      <w:pPr>
        <w:rPr>
          <w:rFonts w:hint="eastAsia" w:ascii="宋体" w:hAnsi="宋体"/>
          <w:sz w:val="28"/>
          <w:szCs w:val="28"/>
        </w:rPr>
      </w:pPr>
    </w:p>
    <w:p w14:paraId="4D5C8D7F">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4577715</wp:posOffset>
                </wp:positionH>
                <wp:positionV relativeFrom="paragraph">
                  <wp:posOffset>6343015</wp:posOffset>
                </wp:positionV>
                <wp:extent cx="914400" cy="351790"/>
                <wp:effectExtent l="0" t="0" r="0" b="3810"/>
                <wp:wrapNone/>
                <wp:docPr id="11" name="fmFrame7"/>
                <wp:cNvGraphicFramePr/>
                <a:graphic xmlns:a="http://schemas.openxmlformats.org/drawingml/2006/main">
                  <a:graphicData uri="http://schemas.microsoft.com/office/word/2010/wordprocessingShape">
                    <wps:wsp>
                      <wps:cNvSpPr txBox="1"/>
                      <wps:spPr>
                        <a:xfrm>
                          <a:off x="0" y="0"/>
                          <a:ext cx="914400" cy="351790"/>
                        </a:xfrm>
                        <a:prstGeom prst="rect">
                          <a:avLst/>
                        </a:prstGeom>
                        <a:solidFill>
                          <a:srgbClr val="FFFFFF"/>
                        </a:solidFill>
                        <a:ln>
                          <a:noFill/>
                        </a:ln>
                        <a:effectLst/>
                      </wps:spPr>
                      <wps:txbx>
                        <w:txbxContent>
                          <w:p w14:paraId="635D2803">
                            <w:pPr>
                              <w:pStyle w:val="123"/>
                              <w:ind w:right="648"/>
                              <w:jc w:val="both"/>
                              <w:rPr>
                                <w:b w:val="0"/>
                              </w:rPr>
                            </w:pPr>
                            <w:r>
                              <w:rPr>
                                <w:rStyle w:val="237"/>
                                <w:rFonts w:hint="eastAsia"/>
                                <w:b w:val="0"/>
                              </w:rPr>
                              <w:t>发布</w:t>
                            </w:r>
                          </w:p>
                        </w:txbxContent>
                      </wps:txbx>
                      <wps:bodyPr lIns="0" tIns="0" rIns="0" bIns="0" upright="1"/>
                    </wps:wsp>
                  </a:graphicData>
                </a:graphic>
              </wp:anchor>
            </w:drawing>
          </mc:Choice>
          <mc:Fallback>
            <w:pict>
              <v:shape id="fmFrame7" o:spid="_x0000_s1026" o:spt="202" type="#_x0000_t202" style="position:absolute;left:0pt;margin-left:360.45pt;margin-top:499.45pt;height:27.7pt;width:72pt;z-index:251664384;mso-width-relative:page;mso-height-relative:page;" fillcolor="#FFFFFF" filled="t" stroked="f" coordsize="21600,21600" o:gfxdata="UEsDBAoAAAAAAIdO4kAAAAAAAAAAAAAAAAAEAAAAZHJzL1BLAwQUAAAACACHTuJA7ImAOdoAAAAM&#10;AQAADwAAAGRycy9kb3ducmV2LnhtbE2PwU7DMAyG70i8Q2QkLoglK6O0pekkNnaDw8a0c9aEtqJx&#10;qiRdt7fHO8Htt/zp9+dyebY9OxkfOocS5jMBzGDtdIeNhP3X5jEDFqJCrXqHRsLFBFhWtzelKrSb&#10;cGtOu9gwKsFQKAltjEPBeahbY1WYucEg7b6dtyrS6BuuvZqo3PY8ESLlVnVIF1o1mFVr6p/daCWk&#10;az9OW1w9rPfvH+pzaJLD2+Ug5f3dXLwCi+Yc/2C46pM6VOR0dCPqwHoJL4nICZWQ5xkFIrJ0QeFI&#10;qHhePAGvSv7/ieoXUEsDBBQAAAAIAIdO4kCZ6ExwxAEAAKYDAAAOAAAAZHJzL2Uyb0RvYy54bWyt&#10;U01v2zAMvQ/ofxB0X2x37boacQqsQYYCwzag2w+QZckWoC9QSuz8+1GynXXdpYf5YFMk9cj3SG8f&#10;JqPJSUBQzja02pSUCMtdp2zf0F8/D+8/URIisx3TzoqGnkWgD7urd9vR1+LaDU53AgiC2FCPvqFD&#10;jL4uisAHYVjYOC8sBqUDwyIeoS86YCOiG11cl+XHYnTQeXBchIDe/RykCyK8BdBJqbjYO340wsYZ&#10;FYRmESmFQflAd7lbKQWP36UMIhLdUGQa8xuLoN2md7HbsroH5gfFlxbYW1p4xckwZbHoBWrPIiNH&#10;UP9AGcXBBSfjhjtTzESyIsiiKl9p8zwwLzIXlDr4i+jh/8Hyb6cfQFSHm1BRYpnBiUtzADTukjij&#10;DzXmPHvMitNnN2Hi6g/oTJwnCSZ9kQ3BOEp7vkgrpkg4Ou+rm5sSIxxDH26ru/ssffHnsocQvwhn&#10;SDIaCji5LCg7fQ0RG8HUNSXVCk6r7qC0zgfo20cN5MRwyof8pB7xyl9p2qZk69K1OTx7RN6TpUwi&#10;PBNLVpzaaVGhdd0ZRdBPFuVPq7QasBrtahw9qH5AFlmqIgHh+HJDy6ql/Xh5Rvvl77X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yJgDnaAAAADAEAAA8AAAAAAAAAAQAgAAAAIgAAAGRycy9kb3du&#10;cmV2LnhtbFBLAQIUABQAAAAIAIdO4kCZ6ExwxAEAAKYDAAAOAAAAAAAAAAEAIAAAACkBAABkcnMv&#10;ZTJvRG9jLnhtbFBLBQYAAAAABgAGAFkBAABfBQAAAAA=&#10;">
                <v:fill on="t" focussize="0,0"/>
                <v:stroke on="f"/>
                <v:imagedata o:title=""/>
                <o:lock v:ext="edit" aspectratio="f"/>
                <v:textbox inset="0mm,0mm,0mm,0mm">
                  <w:txbxContent>
                    <w:p w14:paraId="635D2803">
                      <w:pPr>
                        <w:pStyle w:val="123"/>
                        <w:ind w:right="648"/>
                        <w:jc w:val="both"/>
                        <w:rPr>
                          <w:b w:val="0"/>
                        </w:rPr>
                      </w:pPr>
                      <w:r>
                        <w:rPr>
                          <w:rStyle w:val="237"/>
                          <w:rFonts w:hint="eastAsia"/>
                          <w:b w:val="0"/>
                        </w:rPr>
                        <w:t>发布</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1115695</wp:posOffset>
                </wp:positionH>
                <wp:positionV relativeFrom="paragraph">
                  <wp:posOffset>6248400</wp:posOffset>
                </wp:positionV>
                <wp:extent cx="3264535" cy="701040"/>
                <wp:effectExtent l="0" t="0" r="12065" b="10160"/>
                <wp:wrapNone/>
                <wp:docPr id="12" name="文本框 12"/>
                <wp:cNvGraphicFramePr/>
                <a:graphic xmlns:a="http://schemas.openxmlformats.org/drawingml/2006/main">
                  <a:graphicData uri="http://schemas.microsoft.com/office/word/2010/wordprocessingShape">
                    <wps:wsp>
                      <wps:cNvSpPr txBox="1"/>
                      <wps:spPr>
                        <a:xfrm>
                          <a:off x="0" y="0"/>
                          <a:ext cx="3264535" cy="701040"/>
                        </a:xfrm>
                        <a:prstGeom prst="rect">
                          <a:avLst/>
                        </a:prstGeom>
                        <a:solidFill>
                          <a:srgbClr val="FFFFFF"/>
                        </a:solidFill>
                        <a:ln>
                          <a:noFill/>
                        </a:ln>
                        <a:effectLst/>
                      </wps:spPr>
                      <wps:txbx>
                        <w:txbxContent>
                          <w:p w14:paraId="0EC5146D">
                            <w:pPr>
                              <w:pStyle w:val="124"/>
                              <w:spacing w:line="460" w:lineRule="exact"/>
                              <w:ind w:firstLine="0"/>
                              <w:rPr>
                                <w:spacing w:val="64"/>
                                <w:sz w:val="28"/>
                                <w:szCs w:val="28"/>
                              </w:rPr>
                            </w:pPr>
                            <w:r>
                              <w:rPr>
                                <w:rFonts w:hint="eastAsia"/>
                                <w:b/>
                                <w:spacing w:val="64"/>
                                <w:w w:val="135"/>
                                <w:sz w:val="28"/>
                                <w:szCs w:val="28"/>
                              </w:rPr>
                              <w:t>国家市场监督管理总局</w:t>
                            </w:r>
                          </w:p>
                          <w:p w14:paraId="39AD40C9">
                            <w:pPr>
                              <w:pStyle w:val="124"/>
                              <w:spacing w:line="460" w:lineRule="exact"/>
                              <w:ind w:firstLine="0"/>
                              <w:rPr>
                                <w:b/>
                                <w:spacing w:val="64"/>
                                <w:w w:val="135"/>
                                <w:sz w:val="28"/>
                                <w:szCs w:val="28"/>
                              </w:rPr>
                            </w:pPr>
                            <w:r>
                              <w:rPr>
                                <w:rFonts w:hint="eastAsia"/>
                                <w:b/>
                                <w:spacing w:val="64"/>
                                <w:w w:val="135"/>
                                <w:sz w:val="28"/>
                                <w:szCs w:val="28"/>
                              </w:rPr>
                              <w:t>国家标准化管理委员会</w:t>
                            </w:r>
                          </w:p>
                          <w:p w14:paraId="469B38C9">
                            <w:pPr>
                              <w:pStyle w:val="123"/>
                              <w:jc w:val="distribute"/>
                              <w:rPr>
                                <w:sz w:val="28"/>
                                <w:szCs w:val="28"/>
                              </w:rPr>
                            </w:pPr>
                          </w:p>
                        </w:txbxContent>
                      </wps:txbx>
                      <wps:bodyPr lIns="0" tIns="0" rIns="0" bIns="0" upright="1"/>
                    </wps:wsp>
                  </a:graphicData>
                </a:graphic>
              </wp:anchor>
            </w:drawing>
          </mc:Choice>
          <mc:Fallback>
            <w:pict>
              <v:shape id="_x0000_s1026" o:spid="_x0000_s1026" o:spt="202" type="#_x0000_t202" style="position:absolute;left:0pt;margin-left:87.85pt;margin-top:492pt;height:55.2pt;width:257.05pt;z-index:251665408;mso-width-relative:page;mso-height-relative:page;" fillcolor="#FFFFFF" filled="t" stroked="f" coordsize="21600,21600" o:gfxdata="UEsDBAoAAAAAAIdO4kAAAAAAAAAAAAAAAAAEAAAAZHJzL1BLAwQUAAAACACHTuJAHq7kr9oAAAAM&#10;AQAADwAAAGRycy9kb3ducmV2LnhtbE2PMU/DMBSEdyT+g/WQWBC1W4U0SeNUooUNhpaqsxu7SUT8&#10;HNlO0/57HhOMpzvdfVeur7ZnF+ND51DCfCaAGayd7rCRcPh6f86AhahQq96hkXAzAdbV/V2pCu0m&#10;3JnLPjaMSjAUSkIb41BwHurWWBVmbjBI3tl5qyJJ33Dt1UTltucLIVJuVYe00KrBbFpTf+9HKyHd&#10;+nHa4eZpe3j7UJ9Dszi+3o5SPj7MxQpYNNf4F4ZffEKHiphObkQdWE96+bKkqIQ8S+gUJdIspzMn&#10;skSeJMCrkv8/Uf0AUEsDBBQAAAAIAIdO4kDdHTq91QEAAKsDAAAOAAAAZHJzL2Uyb0RvYy54bWyt&#10;U0uO1DAQ3SNxB8t72j09H1DU6ZGg1QgJAdLAARzHSSz5p7K7k74A3IAVG/acq89B2Ul6PmxmQRZJ&#10;uar8qt6ryvp2MJocJATlbEkvFktKpBWuVrYt6bevu1dvKAmR25prZ2VJjzLQ283LF+veF3LlOqdr&#10;CQRBbCh6X9IuRl8wFkQnDQ8L56XFYOPA8IhHaFkNvEd0o9lqubxhvYPagxMyBPRuxyCdEOE5gK5p&#10;lJBbJ/ZG2jiigtQ8IqXQKR/oJnfbNFLEz00TZCS6pMg05jcWQbtKb7ZZ86IF7jslphb4c1p4wslw&#10;ZbHoGWrLIyd7UP9AGSXABdfEhXCGjUSyIsjiYvlEm7uOe5m5oNTBn0UP/w9WfDp8AaJq3IQVJZYb&#10;nPjp54/Trz+n398J+lCg3ocC8+48ZsbhrRswefYHdCbeQwMmfZERwTjKezzLK4dIBDovVzdX15fX&#10;lAiMvUa6V1l/dn/bQ4jvpTMkGSUFHF9WlR8+hoidYOqckooFp1W9U1rnA7TVOw3kwHHUu/ykJvHK&#10;ozRtU7J16doYHj0yL8tUJjEemSUrDtUwyVC5+ogq6A8WZ5D2aTZgNqrZ2HtQbYcsslYsAeEMc0PT&#10;vqUleXhG++E/tv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q7kr9oAAAAMAQAADwAAAAAAAAAB&#10;ACAAAAAiAAAAZHJzL2Rvd25yZXYueG1sUEsBAhQAFAAAAAgAh07iQN0dOr3VAQAAqwMAAA4AAAAA&#10;AAAAAQAgAAAAKQEAAGRycy9lMm9Eb2MueG1sUEsFBgAAAAAGAAYAWQEAAHAFAAAAAA==&#10;">
                <v:fill on="t" focussize="0,0"/>
                <v:stroke on="f"/>
                <v:imagedata o:title=""/>
                <o:lock v:ext="edit" aspectratio="f"/>
                <v:textbox inset="0mm,0mm,0mm,0mm">
                  <w:txbxContent>
                    <w:p w14:paraId="0EC5146D">
                      <w:pPr>
                        <w:pStyle w:val="124"/>
                        <w:spacing w:line="460" w:lineRule="exact"/>
                        <w:ind w:firstLine="0"/>
                        <w:rPr>
                          <w:spacing w:val="64"/>
                          <w:sz w:val="28"/>
                          <w:szCs w:val="28"/>
                        </w:rPr>
                      </w:pPr>
                      <w:r>
                        <w:rPr>
                          <w:rFonts w:hint="eastAsia"/>
                          <w:b/>
                          <w:spacing w:val="64"/>
                          <w:w w:val="135"/>
                          <w:sz w:val="28"/>
                          <w:szCs w:val="28"/>
                        </w:rPr>
                        <w:t>国家市场监督管理总局</w:t>
                      </w:r>
                    </w:p>
                    <w:p w14:paraId="39AD40C9">
                      <w:pPr>
                        <w:pStyle w:val="124"/>
                        <w:spacing w:line="460" w:lineRule="exact"/>
                        <w:ind w:firstLine="0"/>
                        <w:rPr>
                          <w:b/>
                          <w:spacing w:val="64"/>
                          <w:w w:val="135"/>
                          <w:sz w:val="28"/>
                          <w:szCs w:val="28"/>
                        </w:rPr>
                      </w:pPr>
                      <w:r>
                        <w:rPr>
                          <w:rFonts w:hint="eastAsia"/>
                          <w:b/>
                          <w:spacing w:val="64"/>
                          <w:w w:val="135"/>
                          <w:sz w:val="28"/>
                          <w:szCs w:val="28"/>
                        </w:rPr>
                        <w:t>国家标准化管理委员会</w:t>
                      </w:r>
                    </w:p>
                    <w:p w14:paraId="469B38C9">
                      <w:pPr>
                        <w:pStyle w:val="123"/>
                        <w:jc w:val="distribute"/>
                        <w:rPr>
                          <w:sz w:val="28"/>
                          <w:szCs w:val="28"/>
                        </w:rPr>
                      </w:pPr>
                    </w:p>
                  </w:txbxContent>
                </v:textbox>
              </v:shape>
            </w:pict>
          </mc:Fallback>
        </mc:AlternateContent>
      </w:r>
    </w:p>
    <w:p w14:paraId="3169E7C7">
      <w:pPr>
        <w:pStyle w:val="95"/>
        <w:spacing w:after="468"/>
      </w:pPr>
      <w:bookmarkStart w:id="13" w:name="BookMark1"/>
      <w:bookmarkStart w:id="14" w:name="_Toc173425652"/>
      <w:bookmarkStart w:id="15" w:name="_Toc175560203"/>
      <w:bookmarkStart w:id="16" w:name="_Toc171004950"/>
      <w:r>
        <w:rPr>
          <w:rFonts w:hint="eastAsia"/>
          <w:spacing w:val="320"/>
        </w:rPr>
        <w:t>目</w:t>
      </w:r>
      <w:r>
        <w:rPr>
          <w:rFonts w:hint="eastAsia"/>
        </w:rPr>
        <w:t>次</w:t>
      </w:r>
    </w:p>
    <w:p w14:paraId="46ED8A2C">
      <w:pPr>
        <w:pStyle w:val="20"/>
        <w:tabs>
          <w:tab w:val="right" w:leader="dot" w:pos="9344"/>
        </w:tabs>
        <w:rPr>
          <w:rFonts w:hint="eastAsia" w:asciiTheme="minorHAnsi" w:hAnsiTheme="minorHAnsi" w:eastAsiaTheme="minorEastAsia" w:cstheme="minorBidi"/>
          <w:sz w:val="22"/>
          <w:szCs w:val="24"/>
          <w14:ligatures w14:val="standardContextual"/>
        </w:rPr>
      </w:pPr>
      <w:bookmarkStart w:id="213" w:name="_GoBack"/>
      <w:r>
        <w:rPr>
          <w:rFonts w:hint="eastAsia"/>
        </w:rPr>
        <w:t>前言</w:t>
      </w:r>
      <w:r>
        <w:rPr>
          <w:rFonts w:hint="eastAsia"/>
        </w:rPr>
        <w:tab/>
      </w:r>
      <w:r>
        <w:t>II</w:t>
      </w:r>
    </w:p>
    <w:p w14:paraId="21DA86E7">
      <w:pPr>
        <w:pStyle w:val="20"/>
        <w:tabs>
          <w:tab w:val="right" w:leader="dot" w:pos="9344"/>
        </w:tabs>
        <w:rPr>
          <w:rFonts w:hint="eastAsia" w:asciiTheme="minorHAnsi" w:hAnsiTheme="minorHAnsi" w:eastAsiaTheme="minorEastAsia" w:cstheme="minorBidi"/>
          <w:sz w:val="22"/>
          <w:szCs w:val="24"/>
          <w14:ligatures w14:val="standardContextual"/>
        </w:rPr>
      </w:pPr>
      <w:r>
        <w:rPr>
          <w:rFonts w:hint="eastAsia"/>
        </w:rPr>
        <w:t>引言</w:t>
      </w:r>
      <w:r>
        <w:rPr>
          <w:rFonts w:hint="eastAsia"/>
        </w:rPr>
        <w:tab/>
      </w:r>
      <w:r>
        <w:t>III</w:t>
      </w:r>
    </w:p>
    <w:p w14:paraId="5775FDAB">
      <w:pPr>
        <w:pStyle w:val="20"/>
        <w:tabs>
          <w:tab w:val="right" w:leader="dot" w:pos="9344"/>
        </w:tabs>
        <w:rPr>
          <w:rFonts w:hint="eastAsia" w:asciiTheme="minorHAnsi" w:hAnsiTheme="minorHAnsi" w:eastAsiaTheme="minorEastAsia" w:cstheme="minorBidi"/>
          <w:sz w:val="22"/>
          <w:szCs w:val="24"/>
          <w14:ligatures w14:val="standardContextual"/>
        </w:rPr>
      </w:pPr>
      <w:r>
        <w:rPr>
          <w:rFonts w:hint="eastAsia"/>
        </w:rPr>
        <w:t>1</w:t>
      </w:r>
      <w:r>
        <w:t xml:space="preserve"> </w:t>
      </w:r>
      <w:r>
        <w:rPr>
          <w:rFonts w:hint="eastAsia"/>
        </w:rPr>
        <w:t xml:space="preserve"> 范围</w:t>
      </w:r>
      <w:r>
        <w:rPr>
          <w:rFonts w:hint="eastAsia"/>
        </w:rPr>
        <w:tab/>
      </w:r>
      <w:r>
        <w:t>1</w:t>
      </w:r>
    </w:p>
    <w:p w14:paraId="64917A56">
      <w:pPr>
        <w:pStyle w:val="20"/>
        <w:tabs>
          <w:tab w:val="right" w:leader="dot" w:pos="9344"/>
        </w:tabs>
        <w:rPr>
          <w:rFonts w:hint="eastAsia" w:asciiTheme="minorHAnsi" w:hAnsiTheme="minorHAnsi" w:eastAsiaTheme="minorEastAsia" w:cstheme="minorBidi"/>
          <w:sz w:val="22"/>
          <w:szCs w:val="24"/>
          <w14:ligatures w14:val="standardContextual"/>
        </w:rPr>
      </w:pPr>
      <w:r>
        <w:rPr>
          <w:rFonts w:hint="eastAsia"/>
        </w:rPr>
        <w:t>2</w:t>
      </w:r>
      <w:r>
        <w:t xml:space="preserve"> </w:t>
      </w:r>
      <w:r>
        <w:rPr>
          <w:rFonts w:hint="eastAsia"/>
        </w:rPr>
        <w:t xml:space="preserve"> 规范性引用文件</w:t>
      </w:r>
      <w:r>
        <w:rPr>
          <w:rFonts w:hint="eastAsia"/>
        </w:rPr>
        <w:tab/>
      </w:r>
      <w:r>
        <w:t>1</w:t>
      </w:r>
    </w:p>
    <w:p w14:paraId="3C0F20B1">
      <w:pPr>
        <w:pStyle w:val="20"/>
        <w:tabs>
          <w:tab w:val="right" w:leader="dot" w:pos="9344"/>
        </w:tabs>
        <w:rPr>
          <w:rFonts w:hint="eastAsia" w:asciiTheme="minorHAnsi" w:hAnsiTheme="minorHAnsi" w:eastAsiaTheme="minorEastAsia" w:cstheme="minorBidi"/>
          <w:sz w:val="22"/>
          <w:szCs w:val="24"/>
          <w14:ligatures w14:val="standardContextual"/>
        </w:rPr>
      </w:pPr>
      <w:r>
        <w:rPr>
          <w:rFonts w:hint="eastAsia"/>
        </w:rPr>
        <w:t>3</w:t>
      </w:r>
      <w:r>
        <w:t xml:space="preserve"> </w:t>
      </w:r>
      <w:r>
        <w:rPr>
          <w:rFonts w:hint="eastAsia"/>
        </w:rPr>
        <w:t xml:space="preserve"> 术语和定义</w:t>
      </w:r>
      <w:r>
        <w:rPr>
          <w:rFonts w:hint="eastAsia"/>
        </w:rPr>
        <w:tab/>
      </w:r>
      <w:r>
        <w:t>1</w:t>
      </w:r>
    </w:p>
    <w:p w14:paraId="2B65EBE9">
      <w:pPr>
        <w:pStyle w:val="20"/>
        <w:tabs>
          <w:tab w:val="right" w:leader="dot" w:pos="9344"/>
        </w:tabs>
        <w:rPr>
          <w:rFonts w:hint="eastAsia" w:asciiTheme="minorHAnsi" w:hAnsiTheme="minorHAnsi" w:eastAsiaTheme="minorEastAsia" w:cstheme="minorBidi"/>
          <w:sz w:val="22"/>
          <w:szCs w:val="24"/>
          <w14:ligatures w14:val="standardContextual"/>
        </w:rPr>
      </w:pPr>
      <w:r>
        <w:rPr>
          <w:rFonts w:hint="eastAsia"/>
        </w:rPr>
        <w:t>4</w:t>
      </w:r>
      <w:r>
        <w:t xml:space="preserve"> </w:t>
      </w:r>
      <w:r>
        <w:rPr>
          <w:rFonts w:hint="eastAsia"/>
        </w:rPr>
        <w:t xml:space="preserve"> 总体要求</w:t>
      </w:r>
      <w:r>
        <w:rPr>
          <w:rFonts w:hint="eastAsia"/>
        </w:rPr>
        <w:tab/>
      </w:r>
      <w:r>
        <w:t>1</w:t>
      </w:r>
    </w:p>
    <w:p w14:paraId="001819AC">
      <w:pPr>
        <w:pStyle w:val="20"/>
        <w:tabs>
          <w:tab w:val="right" w:leader="dot" w:pos="9344"/>
        </w:tabs>
        <w:rPr>
          <w:rFonts w:hint="eastAsia" w:asciiTheme="minorHAnsi" w:hAnsiTheme="minorHAnsi" w:eastAsiaTheme="minorEastAsia" w:cstheme="minorBidi"/>
          <w:sz w:val="22"/>
          <w:szCs w:val="24"/>
          <w14:ligatures w14:val="standardContextual"/>
        </w:rPr>
      </w:pPr>
      <w:r>
        <w:rPr>
          <w:rFonts w:hint="eastAsia"/>
        </w:rPr>
        <w:t>5</w:t>
      </w:r>
      <w:r>
        <w:t xml:space="preserve"> </w:t>
      </w:r>
      <w:r>
        <w:rPr>
          <w:rFonts w:hint="eastAsia"/>
        </w:rPr>
        <w:t xml:space="preserve"> 情景构建内容和流程</w:t>
      </w:r>
      <w:r>
        <w:rPr>
          <w:rFonts w:hint="eastAsia"/>
        </w:rPr>
        <w:tab/>
      </w:r>
      <w:r>
        <w:t>1</w:t>
      </w:r>
    </w:p>
    <w:p w14:paraId="379D8EA9">
      <w:pPr>
        <w:pStyle w:val="20"/>
        <w:tabs>
          <w:tab w:val="right" w:leader="dot" w:pos="9344"/>
        </w:tabs>
        <w:rPr>
          <w:rFonts w:hint="eastAsia" w:asciiTheme="minorHAnsi" w:hAnsiTheme="minorHAnsi" w:eastAsiaTheme="minorEastAsia" w:cstheme="minorBidi"/>
          <w:sz w:val="22"/>
          <w:szCs w:val="24"/>
          <w14:ligatures w14:val="standardContextual"/>
        </w:rPr>
      </w:pPr>
      <w:r>
        <w:rPr>
          <w:rFonts w:hint="eastAsia"/>
        </w:rPr>
        <w:t>6</w:t>
      </w:r>
      <w:r>
        <w:t xml:space="preserve"> </w:t>
      </w:r>
      <w:r>
        <w:rPr>
          <w:rFonts w:hint="eastAsia"/>
        </w:rPr>
        <w:t xml:space="preserve"> 情景筛选与开发</w:t>
      </w:r>
      <w:r>
        <w:rPr>
          <w:rFonts w:hint="eastAsia"/>
        </w:rPr>
        <w:tab/>
      </w:r>
      <w:r>
        <w:t>2</w:t>
      </w:r>
    </w:p>
    <w:p w14:paraId="3276C58F">
      <w:pPr>
        <w:pStyle w:val="20"/>
        <w:tabs>
          <w:tab w:val="right" w:leader="dot" w:pos="9344"/>
        </w:tabs>
        <w:rPr>
          <w:rFonts w:hint="eastAsia" w:asciiTheme="minorHAnsi" w:hAnsiTheme="minorHAnsi" w:eastAsiaTheme="minorEastAsia" w:cstheme="minorBidi"/>
          <w:sz w:val="22"/>
          <w:szCs w:val="24"/>
          <w14:ligatures w14:val="standardContextual"/>
        </w:rPr>
      </w:pPr>
      <w:r>
        <w:rPr>
          <w:rFonts w:hint="eastAsia"/>
        </w:rPr>
        <w:t>7</w:t>
      </w:r>
      <w:r>
        <w:t xml:space="preserve"> </w:t>
      </w:r>
      <w:r>
        <w:rPr>
          <w:rFonts w:hint="eastAsia"/>
        </w:rPr>
        <w:t xml:space="preserve"> 应急任务梳理</w:t>
      </w:r>
      <w:r>
        <w:rPr>
          <w:rFonts w:hint="eastAsia"/>
        </w:rPr>
        <w:tab/>
      </w:r>
      <w:r>
        <w:t>5</w:t>
      </w:r>
    </w:p>
    <w:p w14:paraId="1185D01A">
      <w:pPr>
        <w:pStyle w:val="20"/>
        <w:tabs>
          <w:tab w:val="right" w:leader="dot" w:pos="9344"/>
        </w:tabs>
        <w:rPr>
          <w:rFonts w:hint="eastAsia" w:asciiTheme="minorHAnsi" w:hAnsiTheme="minorHAnsi" w:eastAsiaTheme="minorEastAsia" w:cstheme="minorBidi"/>
          <w:sz w:val="22"/>
          <w:szCs w:val="24"/>
          <w14:ligatures w14:val="standardContextual"/>
        </w:rPr>
      </w:pPr>
      <w:r>
        <w:rPr>
          <w:rFonts w:hint="eastAsia"/>
        </w:rPr>
        <w:t>8</w:t>
      </w:r>
      <w:r>
        <w:t xml:space="preserve"> </w:t>
      </w:r>
      <w:r>
        <w:rPr>
          <w:rFonts w:hint="eastAsia"/>
        </w:rPr>
        <w:t xml:space="preserve"> 应急能力分析</w:t>
      </w:r>
      <w:r>
        <w:rPr>
          <w:rFonts w:hint="eastAsia"/>
        </w:rPr>
        <w:tab/>
      </w:r>
      <w:r>
        <w:t>6</w:t>
      </w:r>
    </w:p>
    <w:p w14:paraId="558D1E0E">
      <w:pPr>
        <w:pStyle w:val="20"/>
        <w:tabs>
          <w:tab w:val="right" w:leader="dot" w:pos="9344"/>
        </w:tabs>
        <w:rPr>
          <w:rFonts w:hint="eastAsia" w:asciiTheme="minorHAnsi" w:hAnsiTheme="minorHAnsi" w:eastAsiaTheme="minorEastAsia" w:cstheme="minorBidi"/>
          <w:sz w:val="22"/>
          <w:szCs w:val="24"/>
          <w14:ligatures w14:val="standardContextual"/>
        </w:rPr>
      </w:pPr>
      <w:r>
        <w:rPr>
          <w:rFonts w:hint="eastAsia"/>
        </w:rPr>
        <w:t>9</w:t>
      </w:r>
      <w:r>
        <w:t xml:space="preserve"> </w:t>
      </w:r>
      <w:r>
        <w:rPr>
          <w:rFonts w:hint="eastAsia"/>
        </w:rPr>
        <w:t xml:space="preserve"> 应急预案体系评估优化</w:t>
      </w:r>
      <w:r>
        <w:rPr>
          <w:rFonts w:hint="eastAsia"/>
        </w:rPr>
        <w:tab/>
      </w:r>
      <w:r>
        <w:t>6</w:t>
      </w:r>
    </w:p>
    <w:p w14:paraId="21C6EA29">
      <w:pPr>
        <w:pStyle w:val="20"/>
        <w:tabs>
          <w:tab w:val="right" w:leader="dot" w:pos="9344"/>
        </w:tabs>
        <w:rPr>
          <w:rFonts w:hint="eastAsia" w:asciiTheme="minorHAnsi" w:hAnsiTheme="minorHAnsi" w:eastAsiaTheme="minorEastAsia" w:cstheme="minorBidi"/>
          <w:sz w:val="22"/>
          <w:szCs w:val="24"/>
          <w14:ligatures w14:val="standardContextual"/>
        </w:rPr>
      </w:pPr>
      <w:r>
        <w:rPr>
          <w:rFonts w:hint="eastAsia"/>
        </w:rPr>
        <w:t>10</w:t>
      </w:r>
      <w:r>
        <w:t xml:space="preserve"> </w:t>
      </w:r>
      <w:r>
        <w:rPr>
          <w:rFonts w:hint="eastAsia"/>
        </w:rPr>
        <w:t xml:space="preserve"> 应急预案编制与修订</w:t>
      </w:r>
      <w:r>
        <w:rPr>
          <w:rFonts w:hint="eastAsia"/>
        </w:rPr>
        <w:tab/>
      </w:r>
      <w:r>
        <w:t>7</w:t>
      </w:r>
    </w:p>
    <w:p w14:paraId="6711F006">
      <w:pPr>
        <w:pStyle w:val="20"/>
        <w:tabs>
          <w:tab w:val="right" w:leader="dot" w:pos="9344"/>
        </w:tabs>
        <w:rPr>
          <w:rFonts w:hint="eastAsia" w:asciiTheme="minorHAnsi" w:hAnsiTheme="minorHAnsi" w:eastAsiaTheme="minorEastAsia" w:cstheme="minorBidi"/>
          <w:sz w:val="22"/>
          <w:szCs w:val="24"/>
          <w14:ligatures w14:val="standardContextual"/>
        </w:rPr>
      </w:pPr>
      <w:r>
        <w:rPr>
          <w:rFonts w:hint="eastAsia"/>
        </w:rPr>
        <w:t>附录A（资料性）</w:t>
      </w:r>
      <w:r>
        <w:t xml:space="preserve"> </w:t>
      </w:r>
      <w:r>
        <w:rPr>
          <w:rFonts w:hint="eastAsia"/>
        </w:rPr>
        <w:t xml:space="preserve"> 情景简表（示例）</w:t>
      </w:r>
      <w:r>
        <w:rPr>
          <w:rFonts w:hint="eastAsia"/>
        </w:rPr>
        <w:tab/>
      </w:r>
      <w:r>
        <w:t>8</w:t>
      </w:r>
    </w:p>
    <w:p w14:paraId="3631FACF">
      <w:pPr>
        <w:pStyle w:val="20"/>
        <w:tabs>
          <w:tab w:val="right" w:leader="dot" w:pos="9344"/>
        </w:tabs>
        <w:rPr>
          <w:rFonts w:hint="eastAsia" w:asciiTheme="minorHAnsi" w:hAnsiTheme="minorHAnsi" w:eastAsiaTheme="minorEastAsia" w:cstheme="minorBidi"/>
          <w:sz w:val="22"/>
          <w:szCs w:val="24"/>
          <w14:ligatures w14:val="standardContextual"/>
        </w:rPr>
      </w:pPr>
      <w:r>
        <w:rPr>
          <w:rFonts w:hint="eastAsia"/>
        </w:rPr>
        <w:t>附录B（资料性）</w:t>
      </w:r>
      <w:r>
        <w:t xml:space="preserve"> </w:t>
      </w:r>
      <w:r>
        <w:rPr>
          <w:rFonts w:hint="eastAsia"/>
        </w:rPr>
        <w:t xml:space="preserve"> 情景模拟方法</w:t>
      </w:r>
      <w:r>
        <w:rPr>
          <w:rFonts w:hint="eastAsia"/>
        </w:rPr>
        <w:tab/>
      </w:r>
      <w:r>
        <w:t>9</w:t>
      </w:r>
    </w:p>
    <w:p w14:paraId="366FAEDE">
      <w:pPr>
        <w:pStyle w:val="20"/>
        <w:tabs>
          <w:tab w:val="right" w:leader="dot" w:pos="9344"/>
        </w:tabs>
        <w:rPr>
          <w:rFonts w:hint="eastAsia" w:asciiTheme="minorHAnsi" w:hAnsiTheme="minorHAnsi" w:eastAsiaTheme="minorEastAsia" w:cstheme="minorBidi"/>
          <w:sz w:val="22"/>
          <w:szCs w:val="24"/>
          <w14:ligatures w14:val="standardContextual"/>
        </w:rPr>
      </w:pPr>
      <w:r>
        <w:rPr>
          <w:rFonts w:hint="eastAsia"/>
        </w:rPr>
        <w:t>附录C（资料性）</w:t>
      </w:r>
      <w:r>
        <w:t xml:space="preserve"> </w:t>
      </w:r>
      <w:r>
        <w:rPr>
          <w:rFonts w:hint="eastAsia"/>
        </w:rPr>
        <w:t xml:space="preserve"> 应急能力评估与规划表（示例）</w:t>
      </w:r>
      <w:r>
        <w:rPr>
          <w:rFonts w:hint="eastAsia"/>
        </w:rPr>
        <w:tab/>
      </w:r>
      <w:r>
        <w:t>10</w:t>
      </w:r>
    </w:p>
    <w:p w14:paraId="7594420D">
      <w:pPr>
        <w:pStyle w:val="20"/>
        <w:tabs>
          <w:tab w:val="right" w:leader="dot" w:pos="9344"/>
        </w:tabs>
        <w:rPr>
          <w:rFonts w:hint="eastAsia" w:asciiTheme="minorHAnsi" w:hAnsiTheme="minorHAnsi" w:eastAsiaTheme="minorEastAsia" w:cstheme="minorBidi"/>
          <w:sz w:val="22"/>
          <w:szCs w:val="24"/>
          <w14:ligatures w14:val="standardContextual"/>
        </w:rPr>
      </w:pPr>
      <w:r>
        <w:rPr>
          <w:rFonts w:hint="eastAsia"/>
        </w:rPr>
        <w:t>参考文献</w:t>
      </w:r>
      <w:r>
        <w:rPr>
          <w:rFonts w:hint="eastAsia"/>
        </w:rPr>
        <w:tab/>
      </w:r>
      <w:r>
        <w:t>11</w:t>
      </w:r>
    </w:p>
    <w:bookmarkEnd w:id="213"/>
    <w:p w14:paraId="50390D4D">
      <w:pPr>
        <w:pStyle w:val="95"/>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13"/>
    <w:p w14:paraId="2C446AEB">
      <w:pPr>
        <w:pStyle w:val="93"/>
        <w:spacing w:after="468"/>
      </w:pPr>
      <w:bookmarkStart w:id="17" w:name="_Toc175560293"/>
      <w:bookmarkStart w:id="18" w:name="BookMark2"/>
      <w:r>
        <w:rPr>
          <w:spacing w:val="320"/>
        </w:rPr>
        <w:t>前</w:t>
      </w:r>
      <w:r>
        <w:t>言</w:t>
      </w:r>
      <w:bookmarkEnd w:id="14"/>
      <w:bookmarkEnd w:id="15"/>
      <w:bookmarkEnd w:id="16"/>
      <w:bookmarkEnd w:id="17"/>
    </w:p>
    <w:p w14:paraId="57C67829">
      <w:pPr>
        <w:pStyle w:val="60"/>
        <w:ind w:firstLine="420"/>
      </w:pPr>
      <w:r>
        <w:rPr>
          <w:rFonts w:hint="eastAsia"/>
        </w:rPr>
        <w:t>本文件按照GB/T 1.1—2020《标准化工作导则  第1部分：标准化文件的结构和起草规则》的规定起草。</w:t>
      </w:r>
    </w:p>
    <w:p w14:paraId="73FC9EF9">
      <w:pPr>
        <w:pStyle w:val="60"/>
        <w:ind w:firstLine="420"/>
      </w:pPr>
      <w:r>
        <w:rPr>
          <w:rFonts w:hint="eastAsia"/>
        </w:rPr>
        <w:t>本文件由中华人民共和国应急管理部提出。</w:t>
      </w:r>
    </w:p>
    <w:p w14:paraId="3D6BADBE">
      <w:pPr>
        <w:pStyle w:val="60"/>
        <w:ind w:firstLine="420"/>
      </w:pPr>
      <w:r>
        <w:rPr>
          <w:rFonts w:hint="eastAsia"/>
        </w:rPr>
        <w:t>本文件由全国应急管理与减灾救灾标准化技术委员会（SAC/TC 307）归口。</w:t>
      </w:r>
    </w:p>
    <w:p w14:paraId="66F53274">
      <w:pPr>
        <w:pStyle w:val="60"/>
        <w:ind w:firstLine="420"/>
      </w:pPr>
      <w:r>
        <w:rPr>
          <w:rFonts w:hint="eastAsia"/>
        </w:rPr>
        <w:t>本文件起草单位：</w:t>
      </w:r>
    </w:p>
    <w:p w14:paraId="679D8393">
      <w:pPr>
        <w:pStyle w:val="60"/>
        <w:ind w:firstLine="420"/>
      </w:pPr>
      <w:r>
        <w:rPr>
          <w:rFonts w:hint="eastAsia"/>
        </w:rPr>
        <w:t>本文件主要起草人：</w:t>
      </w:r>
    </w:p>
    <w:p w14:paraId="20CD8CC6">
      <w:pPr>
        <w:pStyle w:val="60"/>
        <w:ind w:firstLine="420"/>
      </w:pPr>
      <w:r>
        <w:rPr>
          <w:rFonts w:hint="eastAsia"/>
        </w:rPr>
        <w:t>本文件为首次发布。</w:t>
      </w:r>
    </w:p>
    <w:p w14:paraId="089E50C4">
      <w:pPr>
        <w:pStyle w:val="60"/>
        <w:ind w:firstLine="420"/>
      </w:pPr>
    </w:p>
    <w:p w14:paraId="210AF65E">
      <w:pPr>
        <w:pStyle w:val="60"/>
        <w:ind w:firstLine="420"/>
        <w:sectPr>
          <w:pgSz w:w="11906" w:h="16838"/>
          <w:pgMar w:top="1928" w:right="1134" w:bottom="1134" w:left="1134" w:header="1418" w:footer="1134" w:gutter="284"/>
          <w:pgNumType w:fmt="upperRoman"/>
          <w:cols w:space="425" w:num="1"/>
          <w:formProt w:val="0"/>
          <w:docGrid w:type="lines" w:linePitch="312" w:charSpace="0"/>
        </w:sectPr>
      </w:pPr>
    </w:p>
    <w:bookmarkEnd w:id="18"/>
    <w:p w14:paraId="0AE8DC5F">
      <w:pPr>
        <w:pStyle w:val="93"/>
        <w:spacing w:after="360"/>
      </w:pPr>
      <w:bookmarkStart w:id="19" w:name="_Toc171004951"/>
      <w:bookmarkStart w:id="20" w:name="_Toc175560294"/>
      <w:bookmarkStart w:id="21" w:name="_Toc175560204"/>
      <w:bookmarkStart w:id="22" w:name="_Toc173425653"/>
      <w:bookmarkStart w:id="23" w:name="BookMark3"/>
      <w:r>
        <w:rPr>
          <w:spacing w:val="320"/>
        </w:rPr>
        <w:t>引</w:t>
      </w:r>
      <w:r>
        <w:t>言</w:t>
      </w:r>
      <w:bookmarkEnd w:id="19"/>
      <w:bookmarkEnd w:id="20"/>
      <w:bookmarkEnd w:id="21"/>
      <w:bookmarkEnd w:id="22"/>
    </w:p>
    <w:p w14:paraId="225AEE6C">
      <w:pPr>
        <w:pStyle w:val="60"/>
        <w:ind w:firstLine="420"/>
      </w:pPr>
    </w:p>
    <w:p w14:paraId="15796AC5">
      <w:pPr>
        <w:pStyle w:val="60"/>
        <w:ind w:firstLine="420"/>
      </w:pPr>
    </w:p>
    <w:p w14:paraId="2C019E25">
      <w:pPr>
        <w:pStyle w:val="60"/>
        <w:ind w:firstLine="420"/>
        <w:rPr>
          <w:rFonts w:hint="eastAsia"/>
        </w:rPr>
      </w:pPr>
      <w:r>
        <w:rPr>
          <w:rFonts w:hint="eastAsia"/>
        </w:rPr>
        <w:t>加强应急预案体系建设是推进应急管理体系和能力现代化的重要举措,充分运用情景构建方法对于加强应急预案管理、提高应急预案质量具有重要作用。由于我国缺少科学规范的情景构建方法的指导，导致当前应急预案流于形式、内容宽泛、针对性和实用性不强。因此，急需研制情景构建方法相关标准。</w:t>
      </w:r>
    </w:p>
    <w:p w14:paraId="0272B524">
      <w:pPr>
        <w:pStyle w:val="60"/>
        <w:ind w:firstLine="420"/>
        <w:rPr>
          <w:rFonts w:hint="eastAsia"/>
        </w:rPr>
      </w:pPr>
      <w:r>
        <w:rPr>
          <w:rFonts w:hint="eastAsia"/>
        </w:rPr>
        <w:t>本文件针对现有应急预案存在的可操作性不强、风险与资源评估不到位、预案衔接性不紧密等问题，提出以风险评估为基础，以提高应急预案质量为目标，以“情景-任务-能力”为主线的情景构建方法。该方法能够通过情景推演、应急任务和应急能力的梳理分析，指导组织明确事故情景应对流程、职责任务和应对措施，进而为应急预案的编制提供科学依据。</w:t>
      </w:r>
    </w:p>
    <w:p w14:paraId="4FB3A82C">
      <w:pPr>
        <w:pStyle w:val="60"/>
        <w:ind w:firstLine="420"/>
      </w:pPr>
      <w:r>
        <w:rPr>
          <w:rFonts w:hint="eastAsia"/>
        </w:rPr>
        <w:t>本文件提出的情景构建方法是一种普适方法,所有组织在编制各级应急预案时均可参照使用，具体的情景构建过程可根据所编预案具体需求酌情修改。</w:t>
      </w:r>
      <w:r>
        <w:t xml:space="preserve"> </w:t>
      </w:r>
    </w:p>
    <w:p w14:paraId="3A4774F4">
      <w:pPr>
        <w:pStyle w:val="60"/>
        <w:ind w:firstLine="420"/>
      </w:pPr>
    </w:p>
    <w:p w14:paraId="625E8DBB">
      <w:pPr>
        <w:pStyle w:val="60"/>
        <w:ind w:firstLine="420"/>
        <w:jc w:val="center"/>
      </w:pPr>
    </w:p>
    <w:p w14:paraId="607017A6">
      <w:pPr>
        <w:pStyle w:val="60"/>
        <w:ind w:firstLine="420"/>
        <w:jc w:val="center"/>
      </w:pPr>
    </w:p>
    <w:p w14:paraId="0B65B33D">
      <w:pPr>
        <w:pStyle w:val="118"/>
        <w:spacing w:before="120" w:after="120"/>
        <w:sectPr>
          <w:pgSz w:w="11906" w:h="16838"/>
          <w:pgMar w:top="567" w:right="1134" w:bottom="1134" w:left="1134" w:header="1418" w:footer="1134" w:gutter="284"/>
          <w:pgNumType w:fmt="upperRoman"/>
          <w:cols w:space="425" w:num="1"/>
          <w:formProt w:val="0"/>
          <w:docGrid w:linePitch="312" w:charSpace="0"/>
        </w:sectPr>
      </w:pPr>
    </w:p>
    <w:bookmarkEnd w:id="23"/>
    <w:p w14:paraId="33BBF9FA">
      <w:pPr>
        <w:spacing w:line="20" w:lineRule="exact"/>
        <w:jc w:val="center"/>
        <w:rPr>
          <w:rFonts w:hint="eastAsia" w:ascii="黑体" w:hAnsi="黑体" w:eastAsia="黑体"/>
          <w:sz w:val="32"/>
          <w:szCs w:val="32"/>
        </w:rPr>
      </w:pPr>
      <w:bookmarkStart w:id="24" w:name="BookMark4"/>
    </w:p>
    <w:p w14:paraId="4D71B46D">
      <w:pPr>
        <w:spacing w:line="20" w:lineRule="exact"/>
        <w:jc w:val="center"/>
        <w:rPr>
          <w:rFonts w:hint="eastAsia" w:ascii="黑体" w:hAnsi="黑体" w:eastAsia="黑体"/>
          <w:sz w:val="32"/>
          <w:szCs w:val="32"/>
        </w:rPr>
      </w:pPr>
    </w:p>
    <w:sdt>
      <w:sdtPr>
        <w:tag w:val="NEW_STAND_NAME"/>
        <w:id w:val="595910757"/>
        <w:lock w:val="sdtLocked"/>
        <w:placeholder>
          <w:docPart w:val="72FE866EAFB541B893424BEF58328ED9"/>
        </w:placeholder>
      </w:sdtPr>
      <w:sdtContent>
        <w:p w14:paraId="1E2393D0">
          <w:pPr>
            <w:pStyle w:val="182"/>
            <w:spacing w:before="2" w:beforeLines="1" w:after="528" w:afterLines="220"/>
            <w:rPr>
              <w:rFonts w:hint="eastAsia"/>
            </w:rPr>
          </w:pPr>
          <w:bookmarkStart w:id="25" w:name="NEW_STAND_NAME"/>
          <w:r>
            <w:rPr>
              <w:rFonts w:hint="eastAsia"/>
            </w:rPr>
            <w:t>应急预案情景构建方法</w:t>
          </w:r>
        </w:p>
      </w:sdtContent>
    </w:sdt>
    <w:bookmarkEnd w:id="25"/>
    <w:p w14:paraId="55EA60B6">
      <w:pPr>
        <w:pStyle w:val="108"/>
        <w:spacing w:before="240" w:after="240"/>
      </w:pPr>
      <w:bookmarkStart w:id="26" w:name="_Toc97190718"/>
      <w:bookmarkStart w:id="27" w:name="_Toc17233325"/>
      <w:bookmarkStart w:id="28" w:name="_Toc17233333"/>
      <w:bookmarkStart w:id="29" w:name="_Toc171004952"/>
      <w:bookmarkStart w:id="30" w:name="_Toc173425654"/>
      <w:bookmarkStart w:id="31" w:name="_Toc26986771"/>
      <w:bookmarkStart w:id="32" w:name="_Toc24884211"/>
      <w:bookmarkStart w:id="33" w:name="_Toc175560295"/>
      <w:bookmarkStart w:id="34" w:name="_Toc26718930"/>
      <w:bookmarkStart w:id="35" w:name="_Toc26986530"/>
      <w:bookmarkStart w:id="36" w:name="_Toc26648465"/>
      <w:bookmarkStart w:id="37" w:name="_Toc24884218"/>
      <w:bookmarkStart w:id="38" w:name="_Toc175560205"/>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p>
    <w:p w14:paraId="1B8D1144">
      <w:pPr>
        <w:pStyle w:val="60"/>
        <w:ind w:firstLine="420"/>
      </w:pPr>
      <w:bookmarkStart w:id="39" w:name="_Toc17233326"/>
      <w:bookmarkStart w:id="40" w:name="_Toc26648466"/>
      <w:bookmarkStart w:id="41" w:name="_Toc17233334"/>
      <w:bookmarkStart w:id="42" w:name="_Toc24884219"/>
      <w:bookmarkStart w:id="43" w:name="_Toc24884212"/>
      <w:r>
        <w:rPr>
          <w:rFonts w:hint="eastAsia"/>
        </w:rPr>
        <w:t>本文件描述了情景构建内容和流程、情景筛选与开发、应急任务梳理、应急能力分析、应急预案体系评估优化、应急预案编制与修订等内容。</w:t>
      </w:r>
    </w:p>
    <w:p w14:paraId="0DDC2DCE">
      <w:pPr>
        <w:pStyle w:val="60"/>
        <w:ind w:firstLine="420"/>
      </w:pPr>
      <w:bookmarkStart w:id="44" w:name="_Hlk139622741"/>
      <w:r>
        <w:rPr>
          <w:rFonts w:hint="eastAsia"/>
        </w:rPr>
        <w:t>本文件适用于政府及其部门在应急预案制定过程中的情景构建活动，其他组织开展应急预案编制情景构建活动可参照使用。</w:t>
      </w:r>
    </w:p>
    <w:bookmarkEnd w:id="44"/>
    <w:p w14:paraId="52D5F1FB">
      <w:pPr>
        <w:pStyle w:val="108"/>
        <w:spacing w:before="240" w:after="240"/>
      </w:pPr>
      <w:bookmarkStart w:id="45" w:name="_Toc26986772"/>
      <w:bookmarkStart w:id="46" w:name="_Toc26718931"/>
      <w:bookmarkStart w:id="47" w:name="_Toc97190719"/>
      <w:bookmarkStart w:id="48" w:name="_Toc171004953"/>
      <w:bookmarkStart w:id="49" w:name="_Toc175560296"/>
      <w:bookmarkStart w:id="50" w:name="_Toc175560206"/>
      <w:bookmarkStart w:id="51" w:name="_Toc173425655"/>
      <w:bookmarkStart w:id="52" w:name="_Toc26986531"/>
      <w:r>
        <w:rPr>
          <w:rFonts w:hint="eastAsia"/>
        </w:rPr>
        <w:t>规范性引用文件</w:t>
      </w:r>
      <w:bookmarkEnd w:id="39"/>
      <w:bookmarkEnd w:id="40"/>
      <w:bookmarkEnd w:id="41"/>
      <w:bookmarkEnd w:id="42"/>
      <w:bookmarkEnd w:id="43"/>
      <w:bookmarkEnd w:id="45"/>
      <w:bookmarkEnd w:id="46"/>
      <w:bookmarkEnd w:id="47"/>
      <w:bookmarkEnd w:id="48"/>
      <w:bookmarkEnd w:id="49"/>
      <w:bookmarkEnd w:id="50"/>
      <w:bookmarkEnd w:id="51"/>
      <w:bookmarkEnd w:id="52"/>
    </w:p>
    <w:sdt>
      <w:sdtPr>
        <w:rPr>
          <w:rFonts w:hint="eastAsia"/>
        </w:rPr>
        <w:id w:val="715848253"/>
        <w:placeholder>
          <w:docPart w:val="80B939589B8D40D1A5BAA1B6E769CC9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4B10239">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5AF2EF5">
      <w:pPr>
        <w:pStyle w:val="60"/>
        <w:ind w:firstLine="420"/>
      </w:pPr>
      <w:r>
        <w:rPr>
          <w:rFonts w:hint="eastAsia"/>
        </w:rPr>
        <w:t>GB/T 23694 风险管理 术语</w:t>
      </w:r>
    </w:p>
    <w:p w14:paraId="6CA9365B">
      <w:pPr>
        <w:pStyle w:val="60"/>
        <w:ind w:firstLine="420"/>
      </w:pPr>
      <w:r>
        <w:rPr>
          <w:rFonts w:hint="eastAsia"/>
        </w:rPr>
        <w:t>GB/T 27921 风险管理 风险评估技术</w:t>
      </w:r>
    </w:p>
    <w:p w14:paraId="32973A98">
      <w:pPr>
        <w:pStyle w:val="108"/>
        <w:spacing w:before="240" w:after="240"/>
      </w:pPr>
      <w:bookmarkStart w:id="53" w:name="_Toc171004954"/>
      <w:bookmarkStart w:id="54" w:name="_Toc175560207"/>
      <w:bookmarkStart w:id="55" w:name="_Toc173425656"/>
      <w:bookmarkStart w:id="56" w:name="_Toc97190720"/>
      <w:bookmarkStart w:id="57" w:name="_Toc175560297"/>
      <w:r>
        <w:rPr>
          <w:rFonts w:hint="eastAsia"/>
          <w:szCs w:val="21"/>
        </w:rPr>
        <w:t>术语和定义</w:t>
      </w:r>
      <w:bookmarkEnd w:id="53"/>
      <w:bookmarkEnd w:id="54"/>
      <w:bookmarkEnd w:id="55"/>
      <w:bookmarkEnd w:id="56"/>
      <w:bookmarkEnd w:id="57"/>
    </w:p>
    <w:sdt>
      <w:sdtPr>
        <w:rPr>
          <w:rFonts w:hint="eastAsia"/>
        </w:rPr>
        <w:id w:val="-1909835108"/>
        <w:placeholder>
          <w:docPart w:val="80B939589B8D40D1A5BAA1B6E769CC9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6EAFA4AB">
          <w:pPr>
            <w:pStyle w:val="60"/>
            <w:ind w:firstLine="420"/>
          </w:pPr>
          <w:bookmarkStart w:id="58" w:name="_Toc26986532"/>
          <w:bookmarkEnd w:id="58"/>
          <w:r>
            <w:rPr>
              <w:rFonts w:hint="eastAsia"/>
            </w:rPr>
            <w:t>GB/T 23694和GB/T 27921界定的以及下列术语和定义适用于本文件。</w:t>
          </w:r>
        </w:p>
      </w:sdtContent>
    </w:sdt>
    <w:p w14:paraId="634D30F3">
      <w:pPr>
        <w:pStyle w:val="228"/>
        <w:ind w:left="420" w:hanging="420" w:hangingChars="200"/>
        <w:rPr>
          <w:rFonts w:hint="eastAsia" w:ascii="黑体" w:hAnsi="黑体" w:eastAsia="黑体"/>
        </w:rPr>
      </w:pPr>
      <w:bookmarkStart w:id="59" w:name="_Toc64712882"/>
      <w:bookmarkStart w:id="60" w:name="_Toc64712951"/>
      <w:r>
        <w:rPr>
          <w:rFonts w:ascii="黑体" w:hAnsi="黑体" w:eastAsia="黑体"/>
        </w:rPr>
        <w:br w:type="textWrapping"/>
      </w:r>
      <w:r>
        <w:rPr>
          <w:rFonts w:hint="eastAsia" w:ascii="黑体" w:hAnsi="黑体" w:eastAsia="黑体"/>
        </w:rPr>
        <w:t>情景 scenario</w:t>
      </w:r>
      <w:bookmarkEnd w:id="59"/>
      <w:bookmarkEnd w:id="60"/>
    </w:p>
    <w:p w14:paraId="235BCBCC">
      <w:pPr>
        <w:pStyle w:val="60"/>
        <w:ind w:firstLine="420"/>
      </w:pPr>
      <w:r>
        <w:rPr>
          <w:rFonts w:hint="eastAsia"/>
        </w:rPr>
        <w:t>对特定风险的演化过程和灾害后果的系统性表述，是该类风险在特定环境下的展示与表达。</w:t>
      </w:r>
    </w:p>
    <w:p w14:paraId="13A60BB5">
      <w:pPr>
        <w:pStyle w:val="185"/>
      </w:pPr>
      <w:r>
        <w:rPr>
          <w:rFonts w:hint="eastAsia"/>
        </w:rPr>
        <w:t>特定风险是指需要编制相应应急预案的风险。</w:t>
      </w:r>
    </w:p>
    <w:p w14:paraId="641BD3E0">
      <w:pPr>
        <w:pStyle w:val="185"/>
      </w:pPr>
      <w:r>
        <w:rPr>
          <w:rFonts w:hint="eastAsia"/>
        </w:rPr>
        <w:t>特定环境是指突发事件应对组织或应急预案编制组织所处的环境。</w:t>
      </w:r>
    </w:p>
    <w:p w14:paraId="1A9C3043">
      <w:pPr>
        <w:pStyle w:val="228"/>
        <w:ind w:left="420" w:hanging="420" w:hangingChars="200"/>
        <w:rPr>
          <w:rFonts w:hint="eastAsia" w:ascii="黑体" w:hAnsi="黑体" w:eastAsia="黑体"/>
        </w:rPr>
      </w:pPr>
      <w:bookmarkStart w:id="61" w:name="_Toc64712883"/>
      <w:bookmarkStart w:id="62" w:name="_Toc64712952"/>
      <w:r>
        <w:rPr>
          <w:rFonts w:ascii="黑体" w:hAnsi="黑体" w:eastAsia="黑体"/>
        </w:rPr>
        <w:br w:type="textWrapping"/>
      </w:r>
      <w:r>
        <w:rPr>
          <w:rFonts w:hint="eastAsia" w:ascii="黑体" w:hAnsi="黑体" w:eastAsia="黑体"/>
        </w:rPr>
        <w:t xml:space="preserve">情景构建 </w:t>
      </w:r>
      <w:r>
        <w:rPr>
          <w:rFonts w:ascii="黑体" w:hAnsi="黑体" w:eastAsia="黑体"/>
        </w:rPr>
        <w:t>s</w:t>
      </w:r>
      <w:r>
        <w:rPr>
          <w:rFonts w:hint="eastAsia" w:ascii="黑体" w:hAnsi="黑体" w:eastAsia="黑体"/>
        </w:rPr>
        <w:t xml:space="preserve">cenario </w:t>
      </w:r>
      <w:bookmarkEnd w:id="61"/>
      <w:bookmarkEnd w:id="62"/>
      <w:r>
        <w:rPr>
          <w:rFonts w:hint="eastAsia" w:ascii="黑体" w:hAnsi="黑体" w:eastAsia="黑体"/>
        </w:rPr>
        <w:t>construction</w:t>
      </w:r>
    </w:p>
    <w:p w14:paraId="74F445CA">
      <w:pPr>
        <w:pStyle w:val="60"/>
        <w:ind w:firstLine="420"/>
      </w:pPr>
      <w:r>
        <w:rPr>
          <w:rFonts w:hint="eastAsia"/>
        </w:rPr>
        <w:t>组织对情景筛选得出的情景清单中的事件，通过情景描述、情景分析、应急任务和能力梳理等，提出应急管理支持信息。</w:t>
      </w:r>
    </w:p>
    <w:p w14:paraId="5A265336">
      <w:pPr>
        <w:pStyle w:val="185"/>
        <w:numPr>
          <w:ilvl w:val="0"/>
          <w:numId w:val="32"/>
        </w:numPr>
      </w:pPr>
      <w:r>
        <w:rPr>
          <w:rFonts w:hint="eastAsia"/>
        </w:rPr>
        <w:t>情景构建应满足情景具有代表性，或对某一类突发事件的普遍规律进行全过程、全方位、全景式的系统描述以考察该类突发事件的应对能力，或对非常规突发事件构建情景以考察具有一定极端性的突发事件的应对能力。</w:t>
      </w:r>
    </w:p>
    <w:p w14:paraId="0B533023">
      <w:pPr>
        <w:pStyle w:val="185"/>
      </w:pPr>
      <w:r>
        <w:rPr>
          <w:rFonts w:hint="eastAsia"/>
        </w:rPr>
        <w:t>情景构建通常以相应事件的发展演化分析和模拟为基础。</w:t>
      </w:r>
    </w:p>
    <w:p w14:paraId="116A6950">
      <w:pPr>
        <w:pStyle w:val="228"/>
        <w:ind w:left="420" w:hanging="420" w:hangingChars="200"/>
        <w:rPr>
          <w:rFonts w:hint="eastAsia" w:ascii="黑体" w:hAnsi="黑体" w:eastAsia="黑体"/>
        </w:rPr>
      </w:pPr>
      <w:bookmarkStart w:id="63" w:name="_Toc64712884"/>
      <w:bookmarkStart w:id="64" w:name="_Toc64712953"/>
      <w:r>
        <w:rPr>
          <w:rFonts w:ascii="黑体" w:hAnsi="黑体" w:eastAsia="黑体"/>
        </w:rPr>
        <w:br w:type="textWrapping"/>
      </w:r>
      <w:r>
        <w:rPr>
          <w:rFonts w:hint="eastAsia" w:ascii="黑体" w:hAnsi="黑体" w:eastAsia="黑体"/>
        </w:rPr>
        <w:t xml:space="preserve">情景筛选 </w:t>
      </w:r>
      <w:r>
        <w:rPr>
          <w:rFonts w:ascii="黑体" w:hAnsi="黑体" w:eastAsia="黑体"/>
        </w:rPr>
        <w:t>s</w:t>
      </w:r>
      <w:r>
        <w:rPr>
          <w:rFonts w:hint="eastAsia" w:ascii="黑体" w:hAnsi="黑体" w:eastAsia="黑体"/>
        </w:rPr>
        <w:t>cenario select</w:t>
      </w:r>
      <w:bookmarkEnd w:id="63"/>
      <w:bookmarkEnd w:id="64"/>
      <w:r>
        <w:rPr>
          <w:rFonts w:hint="eastAsia" w:ascii="黑体" w:hAnsi="黑体" w:eastAsia="黑体"/>
        </w:rPr>
        <w:t>ion</w:t>
      </w:r>
    </w:p>
    <w:p w14:paraId="3A56D730">
      <w:pPr>
        <w:pStyle w:val="60"/>
        <w:ind w:firstLine="420"/>
      </w:pPr>
      <w:r>
        <w:rPr>
          <w:rFonts w:hint="eastAsia"/>
        </w:rPr>
        <w:t>从符合风险特点的历史案例和现实威胁中，选取具有代表性的突发事件情景清单，作为组织机构当前一个时期开展应急准备工作的重点对象。</w:t>
      </w:r>
    </w:p>
    <w:p w14:paraId="308A1DF6">
      <w:pPr>
        <w:pStyle w:val="108"/>
        <w:spacing w:before="240" w:after="240"/>
      </w:pPr>
      <w:bookmarkStart w:id="65" w:name="_Toc173425657"/>
      <w:bookmarkStart w:id="66" w:name="_Toc175560208"/>
      <w:bookmarkStart w:id="67" w:name="_Toc175560298"/>
      <w:bookmarkStart w:id="68" w:name="_Toc64712887"/>
      <w:bookmarkStart w:id="69" w:name="_Toc171004955"/>
      <w:bookmarkStart w:id="70" w:name="_Toc64712956"/>
      <w:bookmarkStart w:id="71" w:name="_Toc64721858"/>
      <w:r>
        <w:rPr>
          <w:rFonts w:hint="eastAsia"/>
        </w:rPr>
        <w:t>总体要求</w:t>
      </w:r>
      <w:bookmarkEnd w:id="65"/>
      <w:bookmarkEnd w:id="66"/>
      <w:bookmarkEnd w:id="67"/>
    </w:p>
    <w:p w14:paraId="3DAC31D2">
      <w:pPr>
        <w:pStyle w:val="167"/>
      </w:pPr>
      <w:r>
        <w:rPr>
          <w:rFonts w:hint="eastAsia"/>
        </w:rPr>
        <w:t>情景构建应针对应急预案编制具体需求进行开展，遵循应急预案针对性、实用性和可操作性的原则。</w:t>
      </w:r>
    </w:p>
    <w:p w14:paraId="12001BC2">
      <w:pPr>
        <w:pStyle w:val="167"/>
      </w:pPr>
      <w:r>
        <w:rPr>
          <w:rFonts w:hint="eastAsia"/>
        </w:rPr>
        <w:t>部门应急预案</w:t>
      </w:r>
      <w:r>
        <w:t>情景构建</w:t>
      </w:r>
      <w:r>
        <w:rPr>
          <w:rFonts w:hint="eastAsia"/>
        </w:rPr>
        <w:t>应</w:t>
      </w:r>
      <w:r>
        <w:t>与专项应急预案</w:t>
      </w:r>
      <w:r>
        <w:rPr>
          <w:rFonts w:hint="eastAsia"/>
        </w:rPr>
        <w:t>情景构建保持</w:t>
      </w:r>
      <w:r>
        <w:t>协调一致</w:t>
      </w:r>
      <w:r>
        <w:rPr>
          <w:rFonts w:hint="eastAsia"/>
          <w:lang w:eastAsia="zh-CN"/>
        </w:rPr>
        <w:t>，</w:t>
      </w:r>
      <w:r>
        <w:rPr>
          <w:rFonts w:hint="eastAsia"/>
        </w:rPr>
        <w:t>部门应急预案情景构建和专项应急预案情景构建可为总体应急预案编制提供借鉴参考</w:t>
      </w:r>
      <w:r>
        <w:t>。</w:t>
      </w:r>
    </w:p>
    <w:p w14:paraId="2935AC7B">
      <w:pPr>
        <w:pStyle w:val="108"/>
        <w:spacing w:before="240" w:after="240"/>
      </w:pPr>
      <w:bookmarkStart w:id="72" w:name="_Toc175560209"/>
      <w:bookmarkStart w:id="73" w:name="_Toc175560299"/>
      <w:bookmarkStart w:id="74" w:name="_Toc173425658"/>
      <w:r>
        <w:rPr>
          <w:rFonts w:hint="eastAsia"/>
        </w:rPr>
        <w:t>情景构建内容和流程</w:t>
      </w:r>
      <w:bookmarkEnd w:id="72"/>
      <w:bookmarkEnd w:id="73"/>
      <w:bookmarkEnd w:id="74"/>
    </w:p>
    <w:p w14:paraId="0B26BDB5">
      <w:pPr>
        <w:pStyle w:val="60"/>
        <w:ind w:firstLine="420"/>
      </w:pPr>
      <w:r>
        <w:rPr>
          <w:rFonts w:hint="eastAsia"/>
        </w:rPr>
        <w:t>应急预案情景构建应明确应急预案编制需求与目标，流程包括情景筛选与开发、应急任务梳理、应急能力分析、应急预案修订与完善、应急预案体系评估优化等，流程图见图1。</w:t>
      </w:r>
    </w:p>
    <w:p w14:paraId="6848861E">
      <w:pPr>
        <w:pStyle w:val="167"/>
        <w:numPr>
          <w:ilvl w:val="0"/>
          <w:numId w:val="0"/>
        </w:numPr>
        <w:jc w:val="center"/>
      </w:pPr>
      <w:r>
        <w:drawing>
          <wp:inline distT="0" distB="0" distL="0" distR="0">
            <wp:extent cx="5939790" cy="3329305"/>
            <wp:effectExtent l="0" t="0" r="3810" b="4445"/>
            <wp:docPr id="984341490"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41490" name="图片 1" descr="图示&#10;&#10;描述已自动生成"/>
                    <pic:cNvPicPr>
                      <a:picLocks noChangeAspect="1"/>
                    </pic:cNvPicPr>
                  </pic:nvPicPr>
                  <pic:blipFill>
                    <a:blip r:embed="rId23"/>
                    <a:stretch>
                      <a:fillRect/>
                    </a:stretch>
                  </pic:blipFill>
                  <pic:spPr>
                    <a:xfrm>
                      <a:off x="0" y="0"/>
                      <a:ext cx="5939790" cy="3329305"/>
                    </a:xfrm>
                    <a:prstGeom prst="rect">
                      <a:avLst/>
                    </a:prstGeom>
                  </pic:spPr>
                </pic:pic>
              </a:graphicData>
            </a:graphic>
          </wp:inline>
        </w:drawing>
      </w:r>
    </w:p>
    <w:p w14:paraId="414E2409">
      <w:pPr>
        <w:pStyle w:val="118"/>
        <w:spacing w:before="120" w:after="120"/>
      </w:pPr>
      <w:r>
        <w:rPr>
          <w:rFonts w:hint="eastAsia"/>
        </w:rPr>
        <w:t>应急预案情景构建流程图</w:t>
      </w:r>
    </w:p>
    <w:p w14:paraId="6DC93FC3">
      <w:pPr>
        <w:pStyle w:val="108"/>
        <w:spacing w:before="240" w:after="240"/>
      </w:pPr>
      <w:bookmarkStart w:id="75" w:name="_Toc173425659"/>
      <w:bookmarkStart w:id="76" w:name="_Toc175560210"/>
      <w:bookmarkStart w:id="77" w:name="_Toc175560300"/>
      <w:r>
        <w:rPr>
          <w:rFonts w:hint="eastAsia"/>
        </w:rPr>
        <w:t>情景筛选</w:t>
      </w:r>
      <w:bookmarkEnd w:id="68"/>
      <w:bookmarkEnd w:id="69"/>
      <w:bookmarkEnd w:id="70"/>
      <w:bookmarkEnd w:id="71"/>
      <w:r>
        <w:rPr>
          <w:rFonts w:hint="eastAsia"/>
        </w:rPr>
        <w:t>与开发</w:t>
      </w:r>
      <w:bookmarkEnd w:id="75"/>
      <w:bookmarkEnd w:id="76"/>
      <w:bookmarkEnd w:id="77"/>
    </w:p>
    <w:p w14:paraId="5CA01B84">
      <w:pPr>
        <w:pStyle w:val="109"/>
        <w:spacing w:before="120" w:after="120"/>
      </w:pPr>
      <w:r>
        <w:rPr>
          <w:rFonts w:hint="eastAsia"/>
        </w:rPr>
        <w:t>情景筛选</w:t>
      </w:r>
    </w:p>
    <w:p w14:paraId="054C8494">
      <w:pPr>
        <w:pStyle w:val="69"/>
        <w:spacing w:before="120" w:after="120"/>
      </w:pPr>
      <w:r>
        <w:rPr>
          <w:rFonts w:hint="eastAsia"/>
        </w:rPr>
        <w:t>通用要求</w:t>
      </w:r>
    </w:p>
    <w:p w14:paraId="6386CB46">
      <w:pPr>
        <w:pStyle w:val="98"/>
        <w:spacing w:before="120" w:after="120"/>
      </w:pPr>
      <w:bookmarkStart w:id="78" w:name="_Toc64712889"/>
      <w:r>
        <w:rPr>
          <w:rFonts w:hint="eastAsia"/>
        </w:rPr>
        <w:t>代表性和典型性</w:t>
      </w:r>
      <w:bookmarkEnd w:id="78"/>
    </w:p>
    <w:p w14:paraId="45312E65">
      <w:pPr>
        <w:pStyle w:val="60"/>
        <w:ind w:firstLine="420"/>
      </w:pPr>
      <w:r>
        <w:rPr>
          <w:rFonts w:hint="eastAsia"/>
        </w:rPr>
        <w:t>所筛选的情景应能代表当前面临的高风险特点，需要编制应急预案的情景应优先进行情景构建。</w:t>
      </w:r>
    </w:p>
    <w:p w14:paraId="0ACDBD19">
      <w:pPr>
        <w:pStyle w:val="98"/>
        <w:spacing w:before="120" w:after="120"/>
      </w:pPr>
      <w:bookmarkStart w:id="79" w:name="_Toc64712890"/>
      <w:r>
        <w:rPr>
          <w:rFonts w:hint="eastAsia"/>
        </w:rPr>
        <w:t>后果严重性</w:t>
      </w:r>
      <w:bookmarkEnd w:id="79"/>
    </w:p>
    <w:p w14:paraId="11DC2AD9">
      <w:pPr>
        <w:pStyle w:val="60"/>
        <w:ind w:firstLine="420"/>
      </w:pPr>
      <w:r>
        <w:rPr>
          <w:rFonts w:hint="eastAsia"/>
        </w:rPr>
        <w:t>所筛选出的情景应是一旦发生会导致一定规模人员伤亡、财产损失和环境影响，造成公众恐慌或者引发不良社会影响的突发事件。</w:t>
      </w:r>
    </w:p>
    <w:p w14:paraId="4664743D">
      <w:pPr>
        <w:pStyle w:val="98"/>
        <w:spacing w:before="120" w:after="120"/>
      </w:pPr>
      <w:bookmarkStart w:id="80" w:name="_Toc64712891"/>
      <w:r>
        <w:rPr>
          <w:rFonts w:hint="eastAsia"/>
        </w:rPr>
        <w:t>影响范围和处置难度</w:t>
      </w:r>
      <w:bookmarkEnd w:id="80"/>
    </w:p>
    <w:p w14:paraId="16CC24D9">
      <w:pPr>
        <w:pStyle w:val="60"/>
        <w:ind w:firstLine="420"/>
      </w:pPr>
      <w:r>
        <w:rPr>
          <w:rFonts w:hint="eastAsia"/>
        </w:rPr>
        <w:t>所筛选的情景应是需要调动应急响应资源，需要各相关方配合或更高层面组织机构的统一协调和处置的突发事件。</w:t>
      </w:r>
    </w:p>
    <w:p w14:paraId="30AE66C2">
      <w:pPr>
        <w:pStyle w:val="98"/>
        <w:spacing w:before="120" w:after="120"/>
      </w:pPr>
      <w:bookmarkStart w:id="81" w:name="_Toc64712892"/>
      <w:r>
        <w:rPr>
          <w:rFonts w:hint="eastAsia"/>
        </w:rPr>
        <w:t>任务覆盖面</w:t>
      </w:r>
      <w:bookmarkEnd w:id="81"/>
    </w:p>
    <w:p w14:paraId="2DA8F6B8">
      <w:pPr>
        <w:pStyle w:val="60"/>
        <w:ind w:firstLine="420"/>
      </w:pPr>
      <w:r>
        <w:rPr>
          <w:rFonts w:hint="eastAsia"/>
        </w:rPr>
        <w:t>所筛选的情景应覆盖尽可能多的应急响应任务。</w:t>
      </w:r>
    </w:p>
    <w:p w14:paraId="460DCD4E">
      <w:pPr>
        <w:pStyle w:val="98"/>
        <w:spacing w:before="120" w:after="120"/>
      </w:pPr>
      <w:bookmarkStart w:id="82" w:name="_Toc64712893"/>
      <w:r>
        <w:rPr>
          <w:rFonts w:hint="eastAsia"/>
        </w:rPr>
        <w:t>发生可能性</w:t>
      </w:r>
      <w:bookmarkEnd w:id="82"/>
    </w:p>
    <w:p w14:paraId="1A8A08B9">
      <w:pPr>
        <w:pStyle w:val="60"/>
        <w:ind w:firstLine="420"/>
      </w:pPr>
      <w:r>
        <w:rPr>
          <w:rFonts w:hint="eastAsia"/>
        </w:rPr>
        <w:t>所筛选的情景应是合理的、可信的。可参考以下因素判断：</w:t>
      </w:r>
    </w:p>
    <w:p w14:paraId="3C7D5D73">
      <w:pPr>
        <w:pStyle w:val="179"/>
      </w:pPr>
      <w:r>
        <w:rPr>
          <w:rFonts w:hint="eastAsia"/>
        </w:rPr>
        <w:t>历史事件：在组织风险范畴内虽然发生概率较低，但后果严重，在国内外的突发事件史中确实出现过；</w:t>
      </w:r>
    </w:p>
    <w:p w14:paraId="3076E01E">
      <w:pPr>
        <w:pStyle w:val="179"/>
      </w:pPr>
      <w:r>
        <w:rPr>
          <w:rFonts w:hint="eastAsia"/>
        </w:rPr>
        <w:t>灾害趋势：由于自然条件与周边环境的变化，某些突发事件的发生频率或后果呈现加大的趋势；</w:t>
      </w:r>
    </w:p>
    <w:p w14:paraId="5B80A27B">
      <w:pPr>
        <w:pStyle w:val="179"/>
      </w:pPr>
      <w:r>
        <w:rPr>
          <w:rFonts w:hint="eastAsia"/>
        </w:rPr>
        <w:t>专家推论：相关领域专家普遍认为，某些突发事件发生的风险正在不断提升，需要重点关注。</w:t>
      </w:r>
    </w:p>
    <w:p w14:paraId="70E642BD">
      <w:pPr>
        <w:pStyle w:val="69"/>
        <w:spacing w:before="120" w:after="120"/>
      </w:pPr>
      <w:bookmarkStart w:id="83" w:name="_Toc64712958"/>
      <w:bookmarkStart w:id="84" w:name="_Toc171004957"/>
      <w:bookmarkStart w:id="85" w:name="_Toc64721860"/>
      <w:bookmarkStart w:id="86" w:name="_Toc64712894"/>
      <w:r>
        <w:rPr>
          <w:rFonts w:hint="eastAsia"/>
        </w:rPr>
        <w:t>筛选方法</w:t>
      </w:r>
      <w:bookmarkEnd w:id="83"/>
      <w:bookmarkEnd w:id="84"/>
      <w:bookmarkEnd w:id="85"/>
      <w:bookmarkEnd w:id="86"/>
    </w:p>
    <w:p w14:paraId="4C9B48BE">
      <w:pPr>
        <w:pStyle w:val="169"/>
      </w:pPr>
      <w:r>
        <w:rPr>
          <w:rFonts w:hint="eastAsia"/>
        </w:rPr>
        <w:t>情景筛选方法可采用风险矩阵方法，风险矩阵是一种根据风险的后果和可能性来显示风险并结合这些特征来显示风险重要性评级的方法。</w:t>
      </w:r>
    </w:p>
    <w:p w14:paraId="7C427311">
      <w:pPr>
        <w:pStyle w:val="169"/>
      </w:pPr>
      <w:r>
        <w:rPr>
          <w:rFonts w:hint="eastAsia"/>
        </w:rPr>
        <w:t>按照</w:t>
      </w:r>
      <w:r>
        <w:t>GB/T 27921</w:t>
      </w:r>
      <w:r>
        <w:rPr>
          <w:rFonts w:hint="eastAsia"/>
        </w:rPr>
        <w:t>风险矩阵要求，针对各类风险进行风险矩阵分析，科学分析各类风险发生的可能性与后果严重性，评估风险级别，确定风险矩阵中的极高、高和较高风险事件清单，依次作为筛选情景的备选清单，风险矩阵示例见表1。</w:t>
      </w:r>
    </w:p>
    <w:p w14:paraId="1C454F69">
      <w:pPr>
        <w:pStyle w:val="116"/>
        <w:spacing w:before="120" w:after="120"/>
      </w:pPr>
      <w:r>
        <w:rPr>
          <w:rFonts w:hint="eastAsia"/>
        </w:rPr>
        <w:t>风险矩阵示例</w:t>
      </w:r>
    </w:p>
    <w:tbl>
      <w:tblPr>
        <w:tblStyle w:val="29"/>
        <w:tblW w:w="0" w:type="auto"/>
        <w:tblInd w:w="108"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016"/>
        <w:gridCol w:w="781"/>
        <w:gridCol w:w="1234"/>
        <w:gridCol w:w="1233"/>
        <w:gridCol w:w="1234"/>
        <w:gridCol w:w="1242"/>
        <w:gridCol w:w="1243"/>
        <w:gridCol w:w="1243"/>
      </w:tblGrid>
      <w:tr w14:paraId="7F5EDD8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797" w:type="dxa"/>
            <w:gridSpan w:val="2"/>
            <w:vMerge w:val="restart"/>
            <w:tcBorders>
              <w:top w:val="single" w:color="auto" w:sz="8" w:space="0"/>
              <w:bottom w:val="single" w:color="auto" w:sz="8" w:space="0"/>
            </w:tcBorders>
            <w:vAlign w:val="center"/>
          </w:tcPr>
          <w:p w14:paraId="2A0428EA">
            <w:pPr>
              <w:snapToGrid w:val="0"/>
              <w:jc w:val="center"/>
              <w:rPr>
                <w:rFonts w:hint="eastAsia" w:ascii="宋体" w:hAnsi="宋体"/>
                <w:sz w:val="18"/>
                <w:szCs w:val="18"/>
              </w:rPr>
            </w:pPr>
          </w:p>
        </w:tc>
        <w:tc>
          <w:tcPr>
            <w:tcW w:w="7429" w:type="dxa"/>
            <w:gridSpan w:val="6"/>
            <w:tcBorders>
              <w:top w:val="single" w:color="auto" w:sz="8" w:space="0"/>
              <w:bottom w:val="single" w:color="auto" w:sz="2" w:space="0"/>
            </w:tcBorders>
            <w:vAlign w:val="center"/>
          </w:tcPr>
          <w:p w14:paraId="7CA27491">
            <w:pPr>
              <w:snapToGrid w:val="0"/>
              <w:jc w:val="center"/>
              <w:rPr>
                <w:rFonts w:hint="eastAsia" w:ascii="宋体" w:hAnsi="宋体"/>
                <w:sz w:val="18"/>
                <w:szCs w:val="18"/>
              </w:rPr>
            </w:pPr>
            <w:r>
              <w:rPr>
                <w:rFonts w:ascii="宋体" w:hAnsi="宋体"/>
                <w:sz w:val="18"/>
                <w:szCs w:val="18"/>
              </w:rPr>
              <w:t>后果严重性等级</w:t>
            </w:r>
          </w:p>
        </w:tc>
      </w:tr>
      <w:tr w14:paraId="28040F5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797" w:type="dxa"/>
            <w:gridSpan w:val="2"/>
            <w:vMerge w:val="continue"/>
            <w:tcBorders>
              <w:top w:val="single" w:color="auto" w:sz="2" w:space="0"/>
              <w:bottom w:val="single" w:color="auto" w:sz="8" w:space="0"/>
            </w:tcBorders>
            <w:vAlign w:val="center"/>
          </w:tcPr>
          <w:p w14:paraId="756571CF">
            <w:pPr>
              <w:snapToGrid w:val="0"/>
              <w:jc w:val="center"/>
              <w:rPr>
                <w:rFonts w:hint="eastAsia" w:ascii="宋体" w:hAnsi="宋体"/>
                <w:sz w:val="18"/>
                <w:szCs w:val="18"/>
              </w:rPr>
            </w:pPr>
          </w:p>
        </w:tc>
        <w:tc>
          <w:tcPr>
            <w:tcW w:w="1234" w:type="dxa"/>
            <w:tcBorders>
              <w:top w:val="single" w:color="auto" w:sz="2" w:space="0"/>
              <w:bottom w:val="single" w:color="auto" w:sz="8" w:space="0"/>
            </w:tcBorders>
            <w:vAlign w:val="center"/>
          </w:tcPr>
          <w:p w14:paraId="4FCC1672">
            <w:pPr>
              <w:snapToGrid w:val="0"/>
              <w:jc w:val="center"/>
              <w:rPr>
                <w:rFonts w:hint="eastAsia" w:ascii="宋体" w:hAnsi="宋体"/>
                <w:sz w:val="18"/>
                <w:szCs w:val="18"/>
              </w:rPr>
            </w:pPr>
            <w:r>
              <w:rPr>
                <w:rFonts w:hint="eastAsia" w:ascii="宋体" w:hAnsi="宋体"/>
                <w:sz w:val="18"/>
                <w:szCs w:val="18"/>
              </w:rPr>
              <w:t>1</w:t>
            </w:r>
          </w:p>
        </w:tc>
        <w:tc>
          <w:tcPr>
            <w:tcW w:w="1233" w:type="dxa"/>
            <w:tcBorders>
              <w:top w:val="single" w:color="auto" w:sz="2" w:space="0"/>
              <w:bottom w:val="single" w:color="auto" w:sz="8" w:space="0"/>
            </w:tcBorders>
            <w:vAlign w:val="center"/>
          </w:tcPr>
          <w:p w14:paraId="6386042E">
            <w:pPr>
              <w:snapToGrid w:val="0"/>
              <w:jc w:val="center"/>
              <w:rPr>
                <w:rFonts w:hint="eastAsia" w:ascii="宋体" w:hAnsi="宋体"/>
                <w:sz w:val="18"/>
                <w:szCs w:val="18"/>
              </w:rPr>
            </w:pPr>
            <w:r>
              <w:rPr>
                <w:rFonts w:hint="eastAsia" w:ascii="宋体" w:hAnsi="宋体"/>
                <w:sz w:val="18"/>
                <w:szCs w:val="18"/>
              </w:rPr>
              <w:t>2</w:t>
            </w:r>
          </w:p>
        </w:tc>
        <w:tc>
          <w:tcPr>
            <w:tcW w:w="1234" w:type="dxa"/>
            <w:tcBorders>
              <w:top w:val="single" w:color="auto" w:sz="2" w:space="0"/>
              <w:bottom w:val="single" w:color="auto" w:sz="8" w:space="0"/>
            </w:tcBorders>
            <w:vAlign w:val="center"/>
          </w:tcPr>
          <w:p w14:paraId="275B40B7">
            <w:pPr>
              <w:snapToGrid w:val="0"/>
              <w:jc w:val="center"/>
              <w:rPr>
                <w:rFonts w:hint="eastAsia" w:ascii="宋体" w:hAnsi="宋体"/>
                <w:sz w:val="18"/>
                <w:szCs w:val="18"/>
              </w:rPr>
            </w:pPr>
            <w:r>
              <w:rPr>
                <w:rFonts w:hint="eastAsia" w:ascii="宋体" w:hAnsi="宋体"/>
                <w:sz w:val="18"/>
                <w:szCs w:val="18"/>
              </w:rPr>
              <w:t>3</w:t>
            </w:r>
          </w:p>
        </w:tc>
        <w:tc>
          <w:tcPr>
            <w:tcW w:w="1242" w:type="dxa"/>
            <w:tcBorders>
              <w:top w:val="single" w:color="auto" w:sz="2" w:space="0"/>
              <w:bottom w:val="single" w:color="auto" w:sz="8" w:space="0"/>
            </w:tcBorders>
            <w:vAlign w:val="center"/>
          </w:tcPr>
          <w:p w14:paraId="72CE6473">
            <w:pPr>
              <w:snapToGrid w:val="0"/>
              <w:jc w:val="center"/>
              <w:rPr>
                <w:rFonts w:hint="eastAsia" w:ascii="宋体" w:hAnsi="宋体"/>
                <w:sz w:val="18"/>
                <w:szCs w:val="18"/>
              </w:rPr>
            </w:pPr>
            <w:r>
              <w:rPr>
                <w:rFonts w:hint="eastAsia" w:ascii="宋体" w:hAnsi="宋体"/>
                <w:sz w:val="18"/>
                <w:szCs w:val="18"/>
              </w:rPr>
              <w:t>4</w:t>
            </w:r>
          </w:p>
        </w:tc>
        <w:tc>
          <w:tcPr>
            <w:tcW w:w="1243" w:type="dxa"/>
            <w:tcBorders>
              <w:top w:val="single" w:color="auto" w:sz="2" w:space="0"/>
              <w:bottom w:val="single" w:color="auto" w:sz="8" w:space="0"/>
            </w:tcBorders>
            <w:vAlign w:val="center"/>
          </w:tcPr>
          <w:p w14:paraId="72F083EA">
            <w:pPr>
              <w:snapToGrid w:val="0"/>
              <w:jc w:val="center"/>
              <w:rPr>
                <w:rFonts w:hint="eastAsia" w:ascii="宋体" w:hAnsi="宋体"/>
                <w:sz w:val="18"/>
                <w:szCs w:val="18"/>
              </w:rPr>
            </w:pPr>
            <w:r>
              <w:rPr>
                <w:rFonts w:hint="eastAsia" w:ascii="宋体" w:hAnsi="宋体"/>
                <w:sz w:val="18"/>
                <w:szCs w:val="18"/>
              </w:rPr>
              <w:t>5</w:t>
            </w:r>
          </w:p>
        </w:tc>
        <w:tc>
          <w:tcPr>
            <w:tcW w:w="1243" w:type="dxa"/>
            <w:tcBorders>
              <w:top w:val="single" w:color="auto" w:sz="2" w:space="0"/>
              <w:bottom w:val="single" w:color="auto" w:sz="8" w:space="0"/>
            </w:tcBorders>
            <w:vAlign w:val="center"/>
          </w:tcPr>
          <w:p w14:paraId="100196D4">
            <w:pPr>
              <w:snapToGrid w:val="0"/>
              <w:jc w:val="center"/>
              <w:rPr>
                <w:rFonts w:hint="eastAsia" w:ascii="宋体" w:hAnsi="宋体"/>
                <w:sz w:val="18"/>
                <w:szCs w:val="18"/>
              </w:rPr>
            </w:pPr>
            <w:r>
              <w:rPr>
                <w:rFonts w:hint="eastAsia" w:ascii="宋体" w:hAnsi="宋体"/>
                <w:sz w:val="18"/>
                <w:szCs w:val="18"/>
              </w:rPr>
              <w:t>6</w:t>
            </w:r>
          </w:p>
        </w:tc>
      </w:tr>
      <w:tr w14:paraId="175FAE0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016" w:type="dxa"/>
            <w:vMerge w:val="restart"/>
            <w:tcBorders>
              <w:top w:val="single" w:color="auto" w:sz="8" w:space="0"/>
            </w:tcBorders>
            <w:vAlign w:val="center"/>
          </w:tcPr>
          <w:p w14:paraId="3ECE6682">
            <w:pPr>
              <w:snapToGrid w:val="0"/>
              <w:jc w:val="center"/>
              <w:rPr>
                <w:rFonts w:hint="eastAsia" w:ascii="宋体" w:hAnsi="宋体"/>
                <w:sz w:val="18"/>
                <w:szCs w:val="18"/>
              </w:rPr>
            </w:pPr>
            <w:r>
              <w:rPr>
                <w:rFonts w:ascii="宋体" w:hAnsi="宋体"/>
                <w:sz w:val="18"/>
                <w:szCs w:val="18"/>
              </w:rPr>
              <w:t>可能性（概率）等级</w:t>
            </w:r>
          </w:p>
        </w:tc>
        <w:tc>
          <w:tcPr>
            <w:tcW w:w="781" w:type="dxa"/>
            <w:tcBorders>
              <w:top w:val="single" w:color="auto" w:sz="8" w:space="0"/>
            </w:tcBorders>
            <w:vAlign w:val="center"/>
          </w:tcPr>
          <w:p w14:paraId="0F3F6F82">
            <w:pPr>
              <w:snapToGrid w:val="0"/>
              <w:jc w:val="center"/>
              <w:rPr>
                <w:rFonts w:hint="eastAsia" w:ascii="宋体" w:hAnsi="宋体"/>
                <w:sz w:val="18"/>
                <w:szCs w:val="18"/>
              </w:rPr>
            </w:pPr>
            <w:r>
              <w:rPr>
                <w:rFonts w:hint="eastAsia" w:ascii="宋体" w:hAnsi="宋体"/>
                <w:sz w:val="18"/>
                <w:szCs w:val="18"/>
              </w:rPr>
              <w:t>E</w:t>
            </w:r>
          </w:p>
        </w:tc>
        <w:tc>
          <w:tcPr>
            <w:tcW w:w="1234" w:type="dxa"/>
            <w:tcBorders>
              <w:top w:val="single" w:color="auto" w:sz="8" w:space="0"/>
            </w:tcBorders>
            <w:shd w:val="clear" w:color="auto" w:fill="D8D8D8" w:themeFill="background1" w:themeFillShade="D9"/>
            <w:vAlign w:val="center"/>
          </w:tcPr>
          <w:p w14:paraId="0FA57F62">
            <w:pPr>
              <w:snapToGrid w:val="0"/>
              <w:jc w:val="center"/>
              <w:rPr>
                <w:rFonts w:hint="eastAsia" w:ascii="宋体" w:hAnsi="宋体"/>
                <w:sz w:val="18"/>
                <w:szCs w:val="18"/>
              </w:rPr>
            </w:pPr>
            <w:r>
              <w:rPr>
                <w:rFonts w:hint="eastAsia" w:ascii="宋体" w:hAnsi="宋体"/>
                <w:sz w:val="18"/>
                <w:szCs w:val="18"/>
              </w:rPr>
              <w:t>中</w:t>
            </w:r>
          </w:p>
        </w:tc>
        <w:tc>
          <w:tcPr>
            <w:tcW w:w="1233" w:type="dxa"/>
            <w:tcBorders>
              <w:top w:val="single" w:color="auto" w:sz="8" w:space="0"/>
            </w:tcBorders>
            <w:shd w:val="clear" w:color="auto" w:fill="BEBEBE" w:themeFill="background1" w:themeFillShade="BF"/>
            <w:vAlign w:val="center"/>
          </w:tcPr>
          <w:p w14:paraId="5B148C12">
            <w:pPr>
              <w:snapToGrid w:val="0"/>
              <w:jc w:val="center"/>
              <w:rPr>
                <w:rFonts w:hint="eastAsia" w:ascii="宋体" w:hAnsi="宋体"/>
                <w:sz w:val="18"/>
                <w:szCs w:val="18"/>
              </w:rPr>
            </w:pPr>
            <w:r>
              <w:rPr>
                <w:rFonts w:hint="eastAsia" w:ascii="宋体" w:hAnsi="宋体"/>
                <w:sz w:val="18"/>
                <w:szCs w:val="18"/>
              </w:rPr>
              <w:t>较高</w:t>
            </w:r>
          </w:p>
        </w:tc>
        <w:tc>
          <w:tcPr>
            <w:tcW w:w="1234" w:type="dxa"/>
            <w:tcBorders>
              <w:top w:val="single" w:color="auto" w:sz="8" w:space="0"/>
            </w:tcBorders>
            <w:shd w:val="clear" w:color="auto" w:fill="A5A5A5" w:themeFill="background1" w:themeFillShade="A6"/>
            <w:vAlign w:val="center"/>
          </w:tcPr>
          <w:p w14:paraId="3E4E7498">
            <w:pPr>
              <w:snapToGrid w:val="0"/>
              <w:jc w:val="center"/>
              <w:rPr>
                <w:rFonts w:hint="eastAsia" w:ascii="宋体" w:hAnsi="宋体"/>
                <w:sz w:val="18"/>
                <w:szCs w:val="18"/>
              </w:rPr>
            </w:pPr>
            <w:r>
              <w:rPr>
                <w:rFonts w:hint="eastAsia" w:ascii="宋体" w:hAnsi="宋体"/>
                <w:sz w:val="18"/>
                <w:szCs w:val="18"/>
              </w:rPr>
              <w:t>高</w:t>
            </w:r>
          </w:p>
        </w:tc>
        <w:tc>
          <w:tcPr>
            <w:tcW w:w="1242" w:type="dxa"/>
            <w:tcBorders>
              <w:top w:val="single" w:color="auto" w:sz="8" w:space="0"/>
            </w:tcBorders>
            <w:shd w:val="clear" w:color="auto" w:fill="7F7F7F" w:themeFill="background1" w:themeFillShade="80"/>
            <w:vAlign w:val="center"/>
          </w:tcPr>
          <w:p w14:paraId="62DBADD4">
            <w:pPr>
              <w:snapToGrid w:val="0"/>
              <w:ind w:firstLine="360" w:firstLineChars="200"/>
              <w:jc w:val="left"/>
              <w:rPr>
                <w:rFonts w:hint="eastAsia" w:ascii="宋体" w:hAnsi="宋体"/>
                <w:sz w:val="18"/>
                <w:szCs w:val="18"/>
              </w:rPr>
            </w:pPr>
            <w:r>
              <w:rPr>
                <w:rFonts w:hint="eastAsia" w:ascii="宋体" w:hAnsi="宋体"/>
                <w:sz w:val="18"/>
                <w:szCs w:val="18"/>
              </w:rPr>
              <w:t>极高</w:t>
            </w:r>
          </w:p>
        </w:tc>
        <w:tc>
          <w:tcPr>
            <w:tcW w:w="1243" w:type="dxa"/>
            <w:tcBorders>
              <w:top w:val="single" w:color="auto" w:sz="8" w:space="0"/>
            </w:tcBorders>
            <w:shd w:val="clear" w:color="auto" w:fill="7F7F7F" w:themeFill="background1" w:themeFillShade="80"/>
            <w:vAlign w:val="center"/>
          </w:tcPr>
          <w:p w14:paraId="20A88A37">
            <w:pPr>
              <w:snapToGrid w:val="0"/>
              <w:ind w:firstLine="360" w:firstLineChars="200"/>
              <w:jc w:val="left"/>
              <w:rPr>
                <w:rFonts w:hint="eastAsia" w:ascii="宋体" w:hAnsi="宋体"/>
                <w:sz w:val="18"/>
                <w:szCs w:val="18"/>
              </w:rPr>
            </w:pPr>
            <w:r>
              <w:rPr>
                <w:rFonts w:hint="eastAsia" w:ascii="宋体" w:hAnsi="宋体"/>
                <w:sz w:val="18"/>
                <w:szCs w:val="18"/>
              </w:rPr>
              <w:t>极高</w:t>
            </w:r>
          </w:p>
        </w:tc>
        <w:tc>
          <w:tcPr>
            <w:tcW w:w="1243" w:type="dxa"/>
            <w:tcBorders>
              <w:top w:val="single" w:color="auto" w:sz="8" w:space="0"/>
            </w:tcBorders>
            <w:shd w:val="clear" w:color="auto" w:fill="7F7F7F" w:themeFill="background1" w:themeFillShade="80"/>
            <w:vAlign w:val="center"/>
          </w:tcPr>
          <w:p w14:paraId="7CCB1E8B">
            <w:pPr>
              <w:snapToGrid w:val="0"/>
              <w:ind w:firstLine="360" w:firstLineChars="200"/>
              <w:jc w:val="left"/>
              <w:rPr>
                <w:rFonts w:hint="eastAsia" w:ascii="宋体" w:hAnsi="宋体"/>
                <w:sz w:val="18"/>
                <w:szCs w:val="18"/>
              </w:rPr>
            </w:pPr>
            <w:r>
              <w:rPr>
                <w:rFonts w:hint="eastAsia" w:ascii="宋体" w:hAnsi="宋体"/>
                <w:sz w:val="18"/>
                <w:szCs w:val="18"/>
              </w:rPr>
              <w:t>极高</w:t>
            </w:r>
          </w:p>
        </w:tc>
      </w:tr>
      <w:tr w14:paraId="5A47955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016" w:type="dxa"/>
            <w:vMerge w:val="continue"/>
            <w:vAlign w:val="center"/>
          </w:tcPr>
          <w:p w14:paraId="4CA46CB4">
            <w:pPr>
              <w:snapToGrid w:val="0"/>
              <w:jc w:val="center"/>
              <w:rPr>
                <w:rFonts w:hint="eastAsia" w:ascii="宋体" w:hAnsi="宋体"/>
                <w:sz w:val="18"/>
                <w:szCs w:val="18"/>
              </w:rPr>
            </w:pPr>
          </w:p>
        </w:tc>
        <w:tc>
          <w:tcPr>
            <w:tcW w:w="781" w:type="dxa"/>
            <w:vAlign w:val="center"/>
          </w:tcPr>
          <w:p w14:paraId="5AEB22A2">
            <w:pPr>
              <w:snapToGrid w:val="0"/>
              <w:jc w:val="center"/>
              <w:rPr>
                <w:rFonts w:hint="eastAsia" w:ascii="宋体" w:hAnsi="宋体"/>
                <w:sz w:val="18"/>
                <w:szCs w:val="18"/>
              </w:rPr>
            </w:pPr>
            <w:r>
              <w:rPr>
                <w:rFonts w:hint="eastAsia" w:ascii="宋体" w:hAnsi="宋体"/>
                <w:sz w:val="18"/>
                <w:szCs w:val="18"/>
              </w:rPr>
              <w:t>D</w:t>
            </w:r>
          </w:p>
        </w:tc>
        <w:tc>
          <w:tcPr>
            <w:tcW w:w="1234" w:type="dxa"/>
            <w:shd w:val="clear" w:color="auto" w:fill="D8D8D8" w:themeFill="background1" w:themeFillShade="D9"/>
            <w:vAlign w:val="center"/>
          </w:tcPr>
          <w:p w14:paraId="099C9A9D">
            <w:pPr>
              <w:snapToGrid w:val="0"/>
              <w:jc w:val="center"/>
              <w:rPr>
                <w:rFonts w:hint="eastAsia" w:ascii="宋体" w:hAnsi="宋体"/>
                <w:sz w:val="18"/>
                <w:szCs w:val="18"/>
              </w:rPr>
            </w:pPr>
            <w:r>
              <w:rPr>
                <w:rFonts w:hint="eastAsia" w:ascii="宋体" w:hAnsi="宋体"/>
                <w:sz w:val="18"/>
                <w:szCs w:val="18"/>
              </w:rPr>
              <w:t>中</w:t>
            </w:r>
          </w:p>
        </w:tc>
        <w:tc>
          <w:tcPr>
            <w:tcW w:w="1233" w:type="dxa"/>
            <w:shd w:val="clear" w:color="auto" w:fill="BEBEBE" w:themeFill="background1" w:themeFillShade="BF"/>
            <w:vAlign w:val="center"/>
          </w:tcPr>
          <w:p w14:paraId="57E432E1">
            <w:pPr>
              <w:snapToGrid w:val="0"/>
              <w:jc w:val="center"/>
              <w:rPr>
                <w:rFonts w:hint="eastAsia" w:ascii="宋体" w:hAnsi="宋体"/>
                <w:sz w:val="18"/>
                <w:szCs w:val="18"/>
              </w:rPr>
            </w:pPr>
            <w:r>
              <w:rPr>
                <w:rFonts w:hint="eastAsia" w:ascii="宋体" w:hAnsi="宋体"/>
                <w:sz w:val="18"/>
                <w:szCs w:val="18"/>
              </w:rPr>
              <w:t>较高</w:t>
            </w:r>
          </w:p>
        </w:tc>
        <w:tc>
          <w:tcPr>
            <w:tcW w:w="1234" w:type="dxa"/>
            <w:shd w:val="clear" w:color="auto" w:fill="BEBEBE" w:themeFill="background1" w:themeFillShade="BF"/>
            <w:vAlign w:val="center"/>
          </w:tcPr>
          <w:p w14:paraId="6880C444">
            <w:pPr>
              <w:snapToGrid w:val="0"/>
              <w:jc w:val="center"/>
              <w:rPr>
                <w:rFonts w:hint="eastAsia" w:ascii="宋体" w:hAnsi="宋体"/>
                <w:sz w:val="18"/>
                <w:szCs w:val="18"/>
              </w:rPr>
            </w:pPr>
            <w:r>
              <w:rPr>
                <w:rFonts w:hint="eastAsia" w:ascii="宋体" w:hAnsi="宋体"/>
                <w:sz w:val="18"/>
                <w:szCs w:val="18"/>
              </w:rPr>
              <w:t>较高</w:t>
            </w:r>
          </w:p>
        </w:tc>
        <w:tc>
          <w:tcPr>
            <w:tcW w:w="1242" w:type="dxa"/>
            <w:shd w:val="clear" w:color="auto" w:fill="A5A5A5" w:themeFill="background1" w:themeFillShade="A6"/>
            <w:vAlign w:val="center"/>
          </w:tcPr>
          <w:p w14:paraId="2EF65F70">
            <w:pPr>
              <w:snapToGrid w:val="0"/>
              <w:jc w:val="center"/>
              <w:rPr>
                <w:rFonts w:hint="eastAsia" w:ascii="宋体" w:hAnsi="宋体"/>
                <w:sz w:val="18"/>
                <w:szCs w:val="18"/>
              </w:rPr>
            </w:pPr>
            <w:r>
              <w:rPr>
                <w:rFonts w:hint="eastAsia" w:ascii="宋体" w:hAnsi="宋体"/>
                <w:sz w:val="18"/>
                <w:szCs w:val="18"/>
              </w:rPr>
              <w:t>高</w:t>
            </w:r>
          </w:p>
        </w:tc>
        <w:tc>
          <w:tcPr>
            <w:tcW w:w="1243" w:type="dxa"/>
            <w:shd w:val="clear" w:color="auto" w:fill="7F7F7F" w:themeFill="background1" w:themeFillShade="80"/>
            <w:vAlign w:val="center"/>
          </w:tcPr>
          <w:p w14:paraId="3CB81365">
            <w:pPr>
              <w:snapToGrid w:val="0"/>
              <w:ind w:firstLine="360" w:firstLineChars="200"/>
              <w:jc w:val="left"/>
              <w:rPr>
                <w:rFonts w:hint="eastAsia" w:ascii="宋体" w:hAnsi="宋体"/>
                <w:sz w:val="18"/>
                <w:szCs w:val="18"/>
              </w:rPr>
            </w:pPr>
            <w:r>
              <w:rPr>
                <w:rFonts w:hint="eastAsia" w:ascii="宋体" w:hAnsi="宋体"/>
                <w:sz w:val="18"/>
                <w:szCs w:val="18"/>
              </w:rPr>
              <w:t>极高</w:t>
            </w:r>
          </w:p>
        </w:tc>
        <w:tc>
          <w:tcPr>
            <w:tcW w:w="1243" w:type="dxa"/>
            <w:shd w:val="clear" w:color="auto" w:fill="7F7F7F" w:themeFill="background1" w:themeFillShade="80"/>
            <w:vAlign w:val="center"/>
          </w:tcPr>
          <w:p w14:paraId="7CCCDD02">
            <w:pPr>
              <w:snapToGrid w:val="0"/>
              <w:ind w:firstLine="360" w:firstLineChars="200"/>
              <w:jc w:val="left"/>
              <w:rPr>
                <w:rFonts w:hint="eastAsia" w:ascii="宋体" w:hAnsi="宋体"/>
                <w:sz w:val="18"/>
                <w:szCs w:val="18"/>
              </w:rPr>
            </w:pPr>
            <w:r>
              <w:rPr>
                <w:rFonts w:hint="eastAsia" w:ascii="宋体" w:hAnsi="宋体"/>
                <w:sz w:val="18"/>
                <w:szCs w:val="18"/>
              </w:rPr>
              <w:t>极高</w:t>
            </w:r>
          </w:p>
        </w:tc>
      </w:tr>
      <w:tr w14:paraId="229CAC1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016" w:type="dxa"/>
            <w:vMerge w:val="continue"/>
            <w:vAlign w:val="center"/>
          </w:tcPr>
          <w:p w14:paraId="07389E3F">
            <w:pPr>
              <w:snapToGrid w:val="0"/>
              <w:jc w:val="center"/>
              <w:rPr>
                <w:rFonts w:hint="eastAsia" w:ascii="宋体" w:hAnsi="宋体"/>
                <w:sz w:val="18"/>
                <w:szCs w:val="18"/>
              </w:rPr>
            </w:pPr>
          </w:p>
        </w:tc>
        <w:tc>
          <w:tcPr>
            <w:tcW w:w="781" w:type="dxa"/>
            <w:vAlign w:val="center"/>
          </w:tcPr>
          <w:p w14:paraId="221B8B7D">
            <w:pPr>
              <w:snapToGrid w:val="0"/>
              <w:jc w:val="center"/>
              <w:rPr>
                <w:rFonts w:hint="eastAsia" w:ascii="宋体" w:hAnsi="宋体"/>
                <w:sz w:val="18"/>
                <w:szCs w:val="18"/>
              </w:rPr>
            </w:pPr>
            <w:r>
              <w:rPr>
                <w:rFonts w:hint="eastAsia" w:ascii="宋体" w:hAnsi="宋体"/>
                <w:sz w:val="18"/>
                <w:szCs w:val="18"/>
              </w:rPr>
              <w:t>C</w:t>
            </w:r>
          </w:p>
        </w:tc>
        <w:tc>
          <w:tcPr>
            <w:tcW w:w="1234" w:type="dxa"/>
            <w:vAlign w:val="center"/>
          </w:tcPr>
          <w:p w14:paraId="15C30185">
            <w:pPr>
              <w:snapToGrid w:val="0"/>
              <w:jc w:val="center"/>
              <w:rPr>
                <w:rFonts w:hint="eastAsia" w:ascii="宋体" w:hAnsi="宋体"/>
                <w:sz w:val="18"/>
                <w:szCs w:val="18"/>
              </w:rPr>
            </w:pPr>
            <w:r>
              <w:rPr>
                <w:rFonts w:hint="eastAsia" w:ascii="宋体" w:hAnsi="宋体"/>
                <w:sz w:val="18"/>
                <w:szCs w:val="18"/>
              </w:rPr>
              <w:t>低</w:t>
            </w:r>
          </w:p>
        </w:tc>
        <w:tc>
          <w:tcPr>
            <w:tcW w:w="1233" w:type="dxa"/>
            <w:shd w:val="clear" w:color="auto" w:fill="D8D8D8" w:themeFill="background1" w:themeFillShade="D9"/>
            <w:vAlign w:val="center"/>
          </w:tcPr>
          <w:p w14:paraId="751E0D40">
            <w:pPr>
              <w:snapToGrid w:val="0"/>
              <w:jc w:val="center"/>
              <w:rPr>
                <w:rFonts w:hint="eastAsia" w:ascii="宋体" w:hAnsi="宋体"/>
                <w:sz w:val="18"/>
                <w:szCs w:val="18"/>
              </w:rPr>
            </w:pPr>
            <w:r>
              <w:rPr>
                <w:rFonts w:hint="eastAsia" w:ascii="宋体" w:hAnsi="宋体"/>
                <w:sz w:val="18"/>
                <w:szCs w:val="18"/>
              </w:rPr>
              <w:t>中</w:t>
            </w:r>
          </w:p>
        </w:tc>
        <w:tc>
          <w:tcPr>
            <w:tcW w:w="1234" w:type="dxa"/>
            <w:shd w:val="clear" w:color="auto" w:fill="BEBEBE" w:themeFill="background1" w:themeFillShade="BF"/>
            <w:vAlign w:val="center"/>
          </w:tcPr>
          <w:p w14:paraId="1CEF4A76">
            <w:pPr>
              <w:snapToGrid w:val="0"/>
              <w:jc w:val="center"/>
              <w:rPr>
                <w:rFonts w:hint="eastAsia" w:ascii="宋体" w:hAnsi="宋体"/>
                <w:sz w:val="18"/>
                <w:szCs w:val="18"/>
              </w:rPr>
            </w:pPr>
            <w:r>
              <w:rPr>
                <w:rFonts w:hint="eastAsia" w:ascii="宋体" w:hAnsi="宋体"/>
                <w:sz w:val="18"/>
                <w:szCs w:val="18"/>
              </w:rPr>
              <w:t>较高</w:t>
            </w:r>
          </w:p>
        </w:tc>
        <w:tc>
          <w:tcPr>
            <w:tcW w:w="1242" w:type="dxa"/>
            <w:shd w:val="clear" w:color="auto" w:fill="A5A5A5" w:themeFill="background1" w:themeFillShade="A6"/>
            <w:vAlign w:val="center"/>
          </w:tcPr>
          <w:p w14:paraId="23084E3C">
            <w:pPr>
              <w:snapToGrid w:val="0"/>
              <w:jc w:val="center"/>
              <w:rPr>
                <w:rFonts w:hint="eastAsia" w:ascii="宋体" w:hAnsi="宋体"/>
                <w:sz w:val="18"/>
                <w:szCs w:val="18"/>
              </w:rPr>
            </w:pPr>
            <w:r>
              <w:rPr>
                <w:rFonts w:hint="eastAsia" w:ascii="宋体" w:hAnsi="宋体"/>
                <w:sz w:val="18"/>
                <w:szCs w:val="18"/>
              </w:rPr>
              <w:t>高</w:t>
            </w:r>
          </w:p>
        </w:tc>
        <w:tc>
          <w:tcPr>
            <w:tcW w:w="1243" w:type="dxa"/>
            <w:shd w:val="clear" w:color="auto" w:fill="A5A5A5" w:themeFill="background1" w:themeFillShade="A6"/>
            <w:vAlign w:val="center"/>
          </w:tcPr>
          <w:p w14:paraId="10AE2493">
            <w:pPr>
              <w:snapToGrid w:val="0"/>
              <w:jc w:val="center"/>
              <w:rPr>
                <w:rFonts w:hint="eastAsia" w:ascii="宋体" w:hAnsi="宋体"/>
                <w:sz w:val="18"/>
                <w:szCs w:val="18"/>
              </w:rPr>
            </w:pPr>
            <w:r>
              <w:rPr>
                <w:rFonts w:hint="eastAsia" w:ascii="宋体" w:hAnsi="宋体"/>
                <w:sz w:val="18"/>
                <w:szCs w:val="18"/>
              </w:rPr>
              <w:t>高</w:t>
            </w:r>
          </w:p>
        </w:tc>
        <w:tc>
          <w:tcPr>
            <w:tcW w:w="1243" w:type="dxa"/>
            <w:shd w:val="clear" w:color="auto" w:fill="7F7F7F" w:themeFill="background1" w:themeFillShade="80"/>
            <w:vAlign w:val="center"/>
          </w:tcPr>
          <w:p w14:paraId="03BDC78A">
            <w:pPr>
              <w:snapToGrid w:val="0"/>
              <w:ind w:firstLine="360" w:firstLineChars="200"/>
              <w:jc w:val="left"/>
              <w:rPr>
                <w:rFonts w:hint="eastAsia" w:ascii="宋体" w:hAnsi="宋体"/>
                <w:sz w:val="18"/>
                <w:szCs w:val="18"/>
              </w:rPr>
            </w:pPr>
            <w:r>
              <w:rPr>
                <w:rFonts w:hint="eastAsia" w:ascii="宋体" w:hAnsi="宋体"/>
                <w:sz w:val="18"/>
                <w:szCs w:val="18"/>
              </w:rPr>
              <w:t>极高</w:t>
            </w:r>
          </w:p>
        </w:tc>
      </w:tr>
      <w:tr w14:paraId="7A5C68B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016" w:type="dxa"/>
            <w:vMerge w:val="continue"/>
            <w:vAlign w:val="center"/>
          </w:tcPr>
          <w:p w14:paraId="6F828F3F">
            <w:pPr>
              <w:snapToGrid w:val="0"/>
              <w:jc w:val="center"/>
              <w:rPr>
                <w:rFonts w:hint="eastAsia" w:ascii="宋体" w:hAnsi="宋体"/>
                <w:sz w:val="18"/>
                <w:szCs w:val="18"/>
              </w:rPr>
            </w:pPr>
          </w:p>
        </w:tc>
        <w:tc>
          <w:tcPr>
            <w:tcW w:w="781" w:type="dxa"/>
            <w:vAlign w:val="center"/>
          </w:tcPr>
          <w:p w14:paraId="7EBE5A1F">
            <w:pPr>
              <w:snapToGrid w:val="0"/>
              <w:jc w:val="center"/>
              <w:rPr>
                <w:rFonts w:hint="eastAsia" w:ascii="宋体" w:hAnsi="宋体"/>
                <w:sz w:val="18"/>
                <w:szCs w:val="18"/>
              </w:rPr>
            </w:pPr>
            <w:r>
              <w:rPr>
                <w:rFonts w:hint="eastAsia" w:ascii="宋体" w:hAnsi="宋体"/>
                <w:sz w:val="18"/>
                <w:szCs w:val="18"/>
              </w:rPr>
              <w:t>B</w:t>
            </w:r>
          </w:p>
        </w:tc>
        <w:tc>
          <w:tcPr>
            <w:tcW w:w="1234" w:type="dxa"/>
            <w:vAlign w:val="center"/>
          </w:tcPr>
          <w:p w14:paraId="67944960">
            <w:pPr>
              <w:snapToGrid w:val="0"/>
              <w:jc w:val="center"/>
              <w:rPr>
                <w:rFonts w:hint="eastAsia" w:ascii="宋体" w:hAnsi="宋体"/>
                <w:sz w:val="18"/>
                <w:szCs w:val="18"/>
              </w:rPr>
            </w:pPr>
            <w:r>
              <w:rPr>
                <w:rFonts w:hint="eastAsia" w:ascii="宋体" w:hAnsi="宋体"/>
                <w:sz w:val="18"/>
                <w:szCs w:val="18"/>
              </w:rPr>
              <w:t>低</w:t>
            </w:r>
          </w:p>
        </w:tc>
        <w:tc>
          <w:tcPr>
            <w:tcW w:w="1233" w:type="dxa"/>
            <w:shd w:val="clear" w:color="auto" w:fill="D8D8D8" w:themeFill="background1" w:themeFillShade="D9"/>
            <w:vAlign w:val="center"/>
          </w:tcPr>
          <w:p w14:paraId="3ECFDA4A">
            <w:pPr>
              <w:snapToGrid w:val="0"/>
              <w:jc w:val="center"/>
              <w:rPr>
                <w:rFonts w:hint="eastAsia" w:ascii="宋体" w:hAnsi="宋体"/>
                <w:sz w:val="18"/>
                <w:szCs w:val="18"/>
              </w:rPr>
            </w:pPr>
            <w:r>
              <w:rPr>
                <w:rFonts w:hint="eastAsia" w:ascii="宋体" w:hAnsi="宋体"/>
                <w:sz w:val="18"/>
                <w:szCs w:val="18"/>
              </w:rPr>
              <w:t>中</w:t>
            </w:r>
          </w:p>
        </w:tc>
        <w:tc>
          <w:tcPr>
            <w:tcW w:w="1234" w:type="dxa"/>
            <w:shd w:val="clear" w:color="auto" w:fill="BEBEBE" w:themeFill="background1" w:themeFillShade="BF"/>
            <w:vAlign w:val="center"/>
          </w:tcPr>
          <w:p w14:paraId="46F630BC">
            <w:pPr>
              <w:snapToGrid w:val="0"/>
              <w:jc w:val="center"/>
              <w:rPr>
                <w:rFonts w:hint="eastAsia" w:ascii="宋体" w:hAnsi="宋体"/>
                <w:sz w:val="18"/>
                <w:szCs w:val="18"/>
              </w:rPr>
            </w:pPr>
            <w:r>
              <w:rPr>
                <w:rFonts w:hint="eastAsia" w:ascii="宋体" w:hAnsi="宋体"/>
                <w:sz w:val="18"/>
                <w:szCs w:val="18"/>
              </w:rPr>
              <w:t>较高</w:t>
            </w:r>
          </w:p>
        </w:tc>
        <w:tc>
          <w:tcPr>
            <w:tcW w:w="1242" w:type="dxa"/>
            <w:shd w:val="clear" w:color="auto" w:fill="BEBEBE" w:themeFill="background1" w:themeFillShade="BF"/>
            <w:vAlign w:val="center"/>
          </w:tcPr>
          <w:p w14:paraId="6DB86CB1">
            <w:pPr>
              <w:snapToGrid w:val="0"/>
              <w:jc w:val="center"/>
              <w:rPr>
                <w:rFonts w:hint="eastAsia" w:ascii="宋体" w:hAnsi="宋体"/>
                <w:sz w:val="18"/>
                <w:szCs w:val="18"/>
              </w:rPr>
            </w:pPr>
            <w:r>
              <w:rPr>
                <w:rFonts w:hint="eastAsia" w:ascii="宋体" w:hAnsi="宋体"/>
                <w:sz w:val="18"/>
                <w:szCs w:val="18"/>
              </w:rPr>
              <w:t>较高</w:t>
            </w:r>
          </w:p>
        </w:tc>
        <w:tc>
          <w:tcPr>
            <w:tcW w:w="1243" w:type="dxa"/>
            <w:shd w:val="clear" w:color="auto" w:fill="A5A5A5" w:themeFill="background1" w:themeFillShade="A6"/>
            <w:vAlign w:val="center"/>
          </w:tcPr>
          <w:p w14:paraId="572EBEAE">
            <w:pPr>
              <w:snapToGrid w:val="0"/>
              <w:jc w:val="center"/>
              <w:rPr>
                <w:rFonts w:hint="eastAsia" w:ascii="宋体" w:hAnsi="宋体"/>
                <w:sz w:val="18"/>
                <w:szCs w:val="18"/>
              </w:rPr>
            </w:pPr>
            <w:r>
              <w:rPr>
                <w:rFonts w:hint="eastAsia" w:ascii="宋体" w:hAnsi="宋体"/>
                <w:sz w:val="18"/>
                <w:szCs w:val="18"/>
              </w:rPr>
              <w:t>高</w:t>
            </w:r>
          </w:p>
        </w:tc>
        <w:tc>
          <w:tcPr>
            <w:tcW w:w="1243" w:type="dxa"/>
            <w:shd w:val="clear" w:color="auto" w:fill="7F7F7F" w:themeFill="background1" w:themeFillShade="80"/>
            <w:vAlign w:val="center"/>
          </w:tcPr>
          <w:p w14:paraId="37560722">
            <w:pPr>
              <w:snapToGrid w:val="0"/>
              <w:ind w:firstLine="360" w:firstLineChars="200"/>
              <w:jc w:val="left"/>
              <w:rPr>
                <w:rFonts w:hint="eastAsia" w:ascii="宋体" w:hAnsi="宋体"/>
                <w:sz w:val="18"/>
                <w:szCs w:val="18"/>
              </w:rPr>
            </w:pPr>
            <w:r>
              <w:rPr>
                <w:rFonts w:hint="eastAsia" w:ascii="宋体" w:hAnsi="宋体"/>
                <w:sz w:val="18"/>
                <w:szCs w:val="18"/>
              </w:rPr>
              <w:t>极高</w:t>
            </w:r>
          </w:p>
        </w:tc>
      </w:tr>
      <w:tr w14:paraId="1E0F545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016" w:type="dxa"/>
            <w:vMerge w:val="continue"/>
            <w:tcBorders>
              <w:bottom w:val="single" w:color="auto" w:sz="8" w:space="0"/>
            </w:tcBorders>
            <w:vAlign w:val="center"/>
          </w:tcPr>
          <w:p w14:paraId="462AD5C7">
            <w:pPr>
              <w:snapToGrid w:val="0"/>
              <w:jc w:val="center"/>
              <w:rPr>
                <w:rFonts w:hint="eastAsia" w:ascii="宋体" w:hAnsi="宋体"/>
                <w:sz w:val="18"/>
                <w:szCs w:val="18"/>
              </w:rPr>
            </w:pPr>
          </w:p>
        </w:tc>
        <w:tc>
          <w:tcPr>
            <w:tcW w:w="781" w:type="dxa"/>
            <w:tcBorders>
              <w:bottom w:val="single" w:color="auto" w:sz="8" w:space="0"/>
            </w:tcBorders>
            <w:vAlign w:val="center"/>
          </w:tcPr>
          <w:p w14:paraId="74581944">
            <w:pPr>
              <w:snapToGrid w:val="0"/>
              <w:jc w:val="center"/>
              <w:rPr>
                <w:rFonts w:hint="eastAsia" w:ascii="宋体" w:hAnsi="宋体"/>
                <w:sz w:val="18"/>
                <w:szCs w:val="18"/>
              </w:rPr>
            </w:pPr>
            <w:r>
              <w:rPr>
                <w:rFonts w:hint="eastAsia" w:ascii="宋体" w:hAnsi="宋体"/>
                <w:sz w:val="18"/>
                <w:szCs w:val="18"/>
              </w:rPr>
              <w:t>A</w:t>
            </w:r>
          </w:p>
        </w:tc>
        <w:tc>
          <w:tcPr>
            <w:tcW w:w="1234" w:type="dxa"/>
            <w:tcBorders>
              <w:bottom w:val="single" w:color="auto" w:sz="8" w:space="0"/>
            </w:tcBorders>
            <w:vAlign w:val="center"/>
          </w:tcPr>
          <w:p w14:paraId="72CE4E12">
            <w:pPr>
              <w:snapToGrid w:val="0"/>
              <w:jc w:val="center"/>
              <w:rPr>
                <w:rFonts w:hint="eastAsia" w:ascii="宋体" w:hAnsi="宋体"/>
                <w:sz w:val="18"/>
                <w:szCs w:val="18"/>
              </w:rPr>
            </w:pPr>
            <w:r>
              <w:rPr>
                <w:rFonts w:hint="eastAsia" w:ascii="宋体" w:hAnsi="宋体"/>
                <w:sz w:val="18"/>
                <w:szCs w:val="18"/>
              </w:rPr>
              <w:t>低</w:t>
            </w:r>
          </w:p>
        </w:tc>
        <w:tc>
          <w:tcPr>
            <w:tcW w:w="1233" w:type="dxa"/>
            <w:tcBorders>
              <w:bottom w:val="single" w:color="auto" w:sz="8" w:space="0"/>
            </w:tcBorders>
            <w:shd w:val="clear" w:color="auto" w:fill="auto"/>
            <w:vAlign w:val="center"/>
          </w:tcPr>
          <w:p w14:paraId="6F95F8DB">
            <w:pPr>
              <w:snapToGrid w:val="0"/>
              <w:jc w:val="center"/>
              <w:rPr>
                <w:rFonts w:hint="eastAsia" w:ascii="宋体" w:hAnsi="宋体"/>
                <w:sz w:val="18"/>
                <w:szCs w:val="18"/>
              </w:rPr>
            </w:pPr>
            <w:r>
              <w:rPr>
                <w:rFonts w:hint="eastAsia" w:ascii="宋体" w:hAnsi="宋体"/>
                <w:sz w:val="18"/>
                <w:szCs w:val="18"/>
              </w:rPr>
              <w:t>低</w:t>
            </w:r>
          </w:p>
        </w:tc>
        <w:tc>
          <w:tcPr>
            <w:tcW w:w="1234" w:type="dxa"/>
            <w:tcBorders>
              <w:bottom w:val="single" w:color="auto" w:sz="8" w:space="0"/>
            </w:tcBorders>
            <w:shd w:val="clear" w:color="auto" w:fill="D8D8D8" w:themeFill="background1" w:themeFillShade="D9"/>
            <w:vAlign w:val="center"/>
          </w:tcPr>
          <w:p w14:paraId="6778CE2F">
            <w:pPr>
              <w:snapToGrid w:val="0"/>
              <w:jc w:val="center"/>
              <w:rPr>
                <w:rFonts w:hint="eastAsia" w:ascii="宋体" w:hAnsi="宋体"/>
                <w:sz w:val="18"/>
                <w:szCs w:val="18"/>
              </w:rPr>
            </w:pPr>
            <w:r>
              <w:rPr>
                <w:rFonts w:hint="eastAsia" w:ascii="宋体" w:hAnsi="宋体"/>
                <w:sz w:val="18"/>
                <w:szCs w:val="18"/>
              </w:rPr>
              <w:t>中</w:t>
            </w:r>
          </w:p>
        </w:tc>
        <w:tc>
          <w:tcPr>
            <w:tcW w:w="1242" w:type="dxa"/>
            <w:tcBorders>
              <w:bottom w:val="single" w:color="auto" w:sz="8" w:space="0"/>
            </w:tcBorders>
            <w:shd w:val="clear" w:color="auto" w:fill="BEBEBE" w:themeFill="background1" w:themeFillShade="BF"/>
            <w:vAlign w:val="center"/>
          </w:tcPr>
          <w:p w14:paraId="208ADF2E">
            <w:pPr>
              <w:snapToGrid w:val="0"/>
              <w:jc w:val="center"/>
              <w:rPr>
                <w:rFonts w:hint="eastAsia" w:ascii="宋体" w:hAnsi="宋体"/>
                <w:sz w:val="18"/>
                <w:szCs w:val="18"/>
              </w:rPr>
            </w:pPr>
            <w:r>
              <w:rPr>
                <w:rFonts w:hint="eastAsia" w:ascii="宋体" w:hAnsi="宋体"/>
                <w:sz w:val="18"/>
                <w:szCs w:val="18"/>
              </w:rPr>
              <w:t>较高</w:t>
            </w:r>
          </w:p>
        </w:tc>
        <w:tc>
          <w:tcPr>
            <w:tcW w:w="1243" w:type="dxa"/>
            <w:tcBorders>
              <w:bottom w:val="single" w:color="auto" w:sz="8" w:space="0"/>
            </w:tcBorders>
            <w:shd w:val="clear" w:color="auto" w:fill="A5A5A5" w:themeFill="background1" w:themeFillShade="A6"/>
            <w:vAlign w:val="center"/>
          </w:tcPr>
          <w:p w14:paraId="0AA0B617">
            <w:pPr>
              <w:snapToGrid w:val="0"/>
              <w:jc w:val="center"/>
              <w:rPr>
                <w:rFonts w:hint="eastAsia" w:ascii="宋体" w:hAnsi="宋体"/>
                <w:sz w:val="18"/>
                <w:szCs w:val="18"/>
              </w:rPr>
            </w:pPr>
            <w:r>
              <w:rPr>
                <w:rFonts w:hint="eastAsia" w:ascii="宋体" w:hAnsi="宋体"/>
                <w:sz w:val="18"/>
                <w:szCs w:val="18"/>
              </w:rPr>
              <w:t>高</w:t>
            </w:r>
          </w:p>
        </w:tc>
        <w:tc>
          <w:tcPr>
            <w:tcW w:w="1243" w:type="dxa"/>
            <w:tcBorders>
              <w:bottom w:val="single" w:color="auto" w:sz="8" w:space="0"/>
            </w:tcBorders>
            <w:shd w:val="clear" w:color="auto" w:fill="A5A5A5" w:themeFill="background1" w:themeFillShade="A6"/>
            <w:vAlign w:val="center"/>
          </w:tcPr>
          <w:p w14:paraId="527643AE">
            <w:pPr>
              <w:snapToGrid w:val="0"/>
              <w:jc w:val="center"/>
              <w:rPr>
                <w:rFonts w:hint="eastAsia" w:ascii="宋体" w:hAnsi="宋体"/>
                <w:sz w:val="18"/>
                <w:szCs w:val="18"/>
              </w:rPr>
            </w:pPr>
            <w:r>
              <w:rPr>
                <w:rFonts w:hint="eastAsia" w:ascii="宋体" w:hAnsi="宋体"/>
                <w:sz w:val="18"/>
                <w:szCs w:val="18"/>
              </w:rPr>
              <w:t>高</w:t>
            </w:r>
          </w:p>
        </w:tc>
      </w:tr>
      <w:tr w14:paraId="580AB3D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226" w:type="dxa"/>
            <w:gridSpan w:val="8"/>
            <w:tcBorders>
              <w:top w:val="single" w:color="auto" w:sz="8" w:space="0"/>
              <w:bottom w:val="single" w:color="auto" w:sz="8" w:space="0"/>
            </w:tcBorders>
            <w:vAlign w:val="center"/>
          </w:tcPr>
          <w:p w14:paraId="4D223C55">
            <w:pPr>
              <w:pStyle w:val="185"/>
              <w:numPr>
                <w:ilvl w:val="0"/>
                <w:numId w:val="33"/>
              </w:numPr>
            </w:pPr>
            <w:r>
              <w:t>可能性</w:t>
            </w:r>
            <w:r>
              <w:rPr>
                <w:rFonts w:hint="eastAsia"/>
              </w:rPr>
              <w:t>（概率）等级</w:t>
            </w:r>
            <w:r>
              <w:t>，A代表概率最低</w:t>
            </w:r>
            <w:r>
              <w:rPr>
                <w:rFonts w:hint="eastAsia"/>
              </w:rPr>
              <w:t>，</w:t>
            </w:r>
            <w:r>
              <w:t>E代表概率最高</w:t>
            </w:r>
          </w:p>
          <w:p w14:paraId="3571565B">
            <w:pPr>
              <w:pStyle w:val="185"/>
              <w:numPr>
                <w:ilvl w:val="0"/>
                <w:numId w:val="33"/>
              </w:numPr>
            </w:pPr>
            <w:r>
              <w:rPr>
                <w:rFonts w:hint="eastAsia"/>
              </w:rPr>
              <w:t>后果严重性等级，</w:t>
            </w:r>
            <w:r>
              <w:t>1代表严重性最低，6代表严重性最高</w:t>
            </w:r>
          </w:p>
        </w:tc>
      </w:tr>
    </w:tbl>
    <w:p w14:paraId="2DA2A762">
      <w:pPr>
        <w:pStyle w:val="60"/>
        <w:ind w:firstLine="0" w:firstLineChars="0"/>
      </w:pPr>
    </w:p>
    <w:p w14:paraId="53FC37BD">
      <w:pPr>
        <w:pStyle w:val="169"/>
      </w:pPr>
      <w:bookmarkStart w:id="87" w:name="_Toc64712896"/>
      <w:r>
        <w:rPr>
          <w:rFonts w:hint="eastAsia"/>
        </w:rPr>
        <w:t>风险发生的可能性和后果严重性可通过本地区、本行业的突发事件历史统计数据进行分析。</w:t>
      </w:r>
    </w:p>
    <w:bookmarkEnd w:id="87"/>
    <w:p w14:paraId="0DF31F09">
      <w:pPr>
        <w:pStyle w:val="109"/>
        <w:spacing w:before="120" w:after="120"/>
      </w:pPr>
      <w:bookmarkStart w:id="88" w:name="_Toc64721861"/>
      <w:bookmarkStart w:id="89" w:name="_Toc64712959"/>
      <w:bookmarkStart w:id="90" w:name="_Toc64712897"/>
      <w:bookmarkStart w:id="91" w:name="_Toc171004958"/>
      <w:r>
        <w:rPr>
          <w:rFonts w:hint="eastAsia"/>
        </w:rPr>
        <w:t>情景</w:t>
      </w:r>
      <w:bookmarkEnd w:id="88"/>
      <w:bookmarkEnd w:id="89"/>
      <w:bookmarkEnd w:id="90"/>
      <w:r>
        <w:rPr>
          <w:rFonts w:hint="eastAsia"/>
        </w:rPr>
        <w:t>开发</w:t>
      </w:r>
      <w:bookmarkEnd w:id="91"/>
    </w:p>
    <w:p w14:paraId="42FA59C9">
      <w:pPr>
        <w:pStyle w:val="69"/>
        <w:spacing w:before="120" w:after="120"/>
      </w:pPr>
      <w:bookmarkStart w:id="92" w:name="_Toc64712898"/>
      <w:bookmarkStart w:id="93" w:name="_Toc171004959"/>
      <w:bookmarkStart w:id="94" w:name="_Toc64712960"/>
      <w:bookmarkStart w:id="95" w:name="_Toc64721862"/>
      <w:r>
        <w:rPr>
          <w:rFonts w:hint="eastAsia"/>
        </w:rPr>
        <w:t>情景要素</w:t>
      </w:r>
      <w:bookmarkEnd w:id="92"/>
      <w:bookmarkEnd w:id="93"/>
      <w:bookmarkEnd w:id="94"/>
      <w:bookmarkEnd w:id="95"/>
    </w:p>
    <w:p w14:paraId="195352BB">
      <w:pPr>
        <w:pStyle w:val="60"/>
        <w:ind w:firstLine="420"/>
      </w:pPr>
      <w:r>
        <w:rPr>
          <w:rFonts w:hint="eastAsia"/>
        </w:rPr>
        <w:t xml:space="preserve">在筛选情景后，需要描述情景的具体要素，见图2。情景要素包括情景概要、背景信息、演化过程、事件后果要素。 </w:t>
      </w:r>
    </w:p>
    <w:p w14:paraId="2C999A30">
      <w:pPr>
        <w:pStyle w:val="60"/>
        <w:ind w:firstLine="0" w:firstLineChars="0"/>
        <w:jc w:val="center"/>
      </w:pPr>
      <w:r>
        <w:object>
          <v:shape id="_x0000_i1025" o:spt="75" type="#_x0000_t75" style="height:299.25pt;width:309.55pt;" o:ole="t" filled="f" o:preferrelative="t" stroked="f" coordsize="21600,21600">
            <v:path/>
            <v:fill on="f" focussize="0,0"/>
            <v:stroke on="f"/>
            <v:imagedata r:id="rId25" cropright="11045f" o:title=""/>
            <o:lock v:ext="edit" aspectratio="t"/>
            <w10:wrap type="none"/>
            <w10:anchorlock/>
          </v:shape>
          <o:OLEObject Type="Embed" ProgID="Visio.Drawing.15" ShapeID="_x0000_i1025" DrawAspect="Content" ObjectID="_1468075725" r:id="rId24">
            <o:LockedField>false</o:LockedField>
          </o:OLEObject>
        </w:object>
      </w:r>
    </w:p>
    <w:p w14:paraId="1BBCFD81">
      <w:pPr>
        <w:pStyle w:val="118"/>
        <w:spacing w:before="120" w:after="120"/>
      </w:pPr>
      <w:r>
        <w:rPr>
          <w:rFonts w:hint="eastAsia"/>
        </w:rPr>
        <w:t>情景要素示意图</w:t>
      </w:r>
    </w:p>
    <w:p w14:paraId="3C55FE14">
      <w:pPr>
        <w:pStyle w:val="69"/>
        <w:spacing w:before="120" w:after="120"/>
      </w:pPr>
      <w:bookmarkStart w:id="96" w:name="_Toc64712899"/>
      <w:bookmarkStart w:id="97" w:name="_Toc64721863"/>
      <w:bookmarkStart w:id="98" w:name="_Toc64712961"/>
      <w:bookmarkStart w:id="99" w:name="_Toc171004960"/>
      <w:r>
        <w:rPr>
          <w:rFonts w:hint="eastAsia"/>
        </w:rPr>
        <w:t>描述情景概要</w:t>
      </w:r>
      <w:bookmarkEnd w:id="96"/>
      <w:bookmarkEnd w:id="97"/>
      <w:bookmarkEnd w:id="98"/>
      <w:bookmarkEnd w:id="99"/>
    </w:p>
    <w:p w14:paraId="4A01124B">
      <w:pPr>
        <w:pStyle w:val="60"/>
        <w:ind w:firstLine="420"/>
      </w:pPr>
      <w:r>
        <w:rPr>
          <w:rFonts w:hint="eastAsia"/>
        </w:rPr>
        <w:t>概要描述突发事件及其发生在特定背景下可能导致的后果及需要采取的行动，例如可能造成的人员伤亡、基础设施损毁、需要疏散的人口数量、环境污染、直接经济损失、同时发生多起事件的可能性、救援复杂程度和恢复重建所需要的大致时间等情况。情景简表见附录A。</w:t>
      </w:r>
    </w:p>
    <w:p w14:paraId="26279699">
      <w:pPr>
        <w:pStyle w:val="69"/>
        <w:spacing w:before="120" w:after="120"/>
      </w:pPr>
      <w:bookmarkStart w:id="100" w:name="_Toc171004961"/>
      <w:bookmarkStart w:id="101" w:name="_Toc64712962"/>
      <w:bookmarkStart w:id="102" w:name="_Toc64721864"/>
      <w:bookmarkStart w:id="103" w:name="_Toc64712900"/>
      <w:r>
        <w:rPr>
          <w:rFonts w:hint="eastAsia"/>
        </w:rPr>
        <w:t>明晰背景信息</w:t>
      </w:r>
      <w:bookmarkEnd w:id="100"/>
      <w:bookmarkEnd w:id="101"/>
      <w:bookmarkEnd w:id="102"/>
      <w:bookmarkEnd w:id="103"/>
    </w:p>
    <w:p w14:paraId="57C92CC5">
      <w:pPr>
        <w:pStyle w:val="98"/>
        <w:spacing w:before="120" w:after="120"/>
      </w:pPr>
      <w:bookmarkStart w:id="104" w:name="_Toc64712901"/>
      <w:r>
        <w:rPr>
          <w:rFonts w:hint="eastAsia"/>
        </w:rPr>
        <w:t>事件主体</w:t>
      </w:r>
      <w:bookmarkEnd w:id="104"/>
    </w:p>
    <w:p w14:paraId="5BC75C74">
      <w:pPr>
        <w:pStyle w:val="60"/>
        <w:ind w:firstLine="420"/>
      </w:pPr>
      <w:r>
        <w:rPr>
          <w:rFonts w:hint="eastAsia"/>
        </w:rPr>
        <w:t>描述突发事件涉及到的各类主体信息，包括事件所涉及组织或区域的人员规模及时空布局、承灾组织及群体自身应急能力、与事件相关的工艺设施和危险物质的属性特点等。</w:t>
      </w:r>
    </w:p>
    <w:p w14:paraId="0A32B4A5">
      <w:pPr>
        <w:pStyle w:val="98"/>
        <w:spacing w:before="120" w:after="120"/>
      </w:pPr>
      <w:bookmarkStart w:id="105" w:name="_Toc64712902"/>
      <w:r>
        <w:rPr>
          <w:rFonts w:hint="eastAsia"/>
        </w:rPr>
        <w:t>地理环境</w:t>
      </w:r>
      <w:bookmarkEnd w:id="105"/>
    </w:p>
    <w:p w14:paraId="5648E400">
      <w:pPr>
        <w:pStyle w:val="60"/>
        <w:ind w:firstLine="420"/>
      </w:pPr>
      <w:r>
        <w:rPr>
          <w:rFonts w:hint="eastAsia"/>
        </w:rPr>
        <w:t>描述突发事件发生与演化是否与特定的地理空间位置相关，或者事件的后果是否与事发地的自然环境、气象与气候条件紧密相关，特别说明有可能导致严重后果或后果扩大的气象、气候、地形等地理环境条件。</w:t>
      </w:r>
    </w:p>
    <w:p w14:paraId="455FA778">
      <w:pPr>
        <w:pStyle w:val="98"/>
        <w:spacing w:before="120" w:after="120"/>
      </w:pPr>
      <w:bookmarkStart w:id="106" w:name="_Toc64712903"/>
      <w:r>
        <w:rPr>
          <w:rFonts w:hint="eastAsia"/>
        </w:rPr>
        <w:t>社会条件</w:t>
      </w:r>
      <w:bookmarkEnd w:id="106"/>
    </w:p>
    <w:p w14:paraId="01A88DC6">
      <w:pPr>
        <w:pStyle w:val="60"/>
        <w:ind w:firstLine="420"/>
      </w:pPr>
      <w:r>
        <w:rPr>
          <w:rFonts w:hint="eastAsia"/>
        </w:rPr>
        <w:t>描述突发事件的发生与演化是否与当地的社会条件紧密相关，包括当地的应急管理体制、机制和救援能力（物资、装备、队伍等）现状。</w:t>
      </w:r>
    </w:p>
    <w:p w14:paraId="3A539CFA">
      <w:pPr>
        <w:pStyle w:val="98"/>
        <w:spacing w:before="120" w:after="120"/>
      </w:pPr>
      <w:bookmarkStart w:id="107" w:name="_Toc64712904"/>
      <w:r>
        <w:rPr>
          <w:rFonts w:hint="eastAsia"/>
        </w:rPr>
        <w:t>假设条件</w:t>
      </w:r>
      <w:bookmarkEnd w:id="107"/>
    </w:p>
    <w:p w14:paraId="34B9F791">
      <w:pPr>
        <w:pStyle w:val="60"/>
        <w:ind w:firstLine="420"/>
      </w:pPr>
      <w:r>
        <w:rPr>
          <w:rFonts w:hint="eastAsia"/>
        </w:rPr>
        <w:t>描述在情景开发时的一些假设条件，主要包括基于现实情况和底线思维设定的突发事件发生时间、气象条件、社会环境条件等背景条件。</w:t>
      </w:r>
    </w:p>
    <w:p w14:paraId="5D5B4553">
      <w:pPr>
        <w:pStyle w:val="69"/>
        <w:spacing w:before="120" w:after="120"/>
      </w:pPr>
      <w:bookmarkStart w:id="108" w:name="_Toc64712905"/>
      <w:bookmarkStart w:id="109" w:name="_Toc64712963"/>
      <w:bookmarkStart w:id="110" w:name="_Toc171004962"/>
      <w:bookmarkStart w:id="111" w:name="_Toc64721865"/>
      <w:r>
        <w:rPr>
          <w:rFonts w:hint="eastAsia"/>
        </w:rPr>
        <w:t>分析演化过程</w:t>
      </w:r>
      <w:bookmarkEnd w:id="108"/>
      <w:bookmarkEnd w:id="109"/>
      <w:bookmarkEnd w:id="110"/>
      <w:bookmarkEnd w:id="111"/>
    </w:p>
    <w:p w14:paraId="117F5E37">
      <w:pPr>
        <w:pStyle w:val="60"/>
        <w:ind w:firstLine="420"/>
      </w:pPr>
      <w:r>
        <w:rPr>
          <w:rFonts w:hint="eastAsia"/>
        </w:rPr>
        <w:t>推导分析突发事件的发生发展过程，对其潜伏期、爆发期、持续期和消退期进行描述。重点描述以下内容：</w:t>
      </w:r>
    </w:p>
    <w:p w14:paraId="5E4E2E62">
      <w:pPr>
        <w:pStyle w:val="179"/>
        <w:numPr>
          <w:ilvl w:val="0"/>
          <w:numId w:val="34"/>
        </w:numPr>
      </w:pPr>
      <w:r>
        <w:rPr>
          <w:rFonts w:hint="eastAsia"/>
        </w:rPr>
        <w:t>发生原因；</w:t>
      </w:r>
    </w:p>
    <w:p w14:paraId="78564D99">
      <w:pPr>
        <w:pStyle w:val="179"/>
      </w:pPr>
      <w:r>
        <w:rPr>
          <w:rFonts w:hint="eastAsia"/>
        </w:rPr>
        <w:t>诱使扩大的主要因素；</w:t>
      </w:r>
    </w:p>
    <w:p w14:paraId="21EBEB48">
      <w:pPr>
        <w:pStyle w:val="179"/>
      </w:pPr>
      <w:r>
        <w:rPr>
          <w:rFonts w:hint="eastAsia"/>
        </w:rPr>
        <w:t>演化过程中的关键节点，以及各节点的灾难场景、标志性事件等。</w:t>
      </w:r>
    </w:p>
    <w:p w14:paraId="72ADF701">
      <w:pPr>
        <w:pStyle w:val="69"/>
        <w:spacing w:before="120" w:after="120"/>
      </w:pPr>
      <w:bookmarkStart w:id="112" w:name="_Toc64712906"/>
      <w:bookmarkStart w:id="113" w:name="_Toc171004963"/>
      <w:bookmarkStart w:id="114" w:name="_Toc64721866"/>
      <w:bookmarkStart w:id="115" w:name="_Toc64712964"/>
      <w:r>
        <w:rPr>
          <w:rFonts w:hint="eastAsia"/>
        </w:rPr>
        <w:t>研究事件后果</w:t>
      </w:r>
      <w:bookmarkEnd w:id="112"/>
      <w:bookmarkEnd w:id="113"/>
      <w:bookmarkEnd w:id="114"/>
      <w:bookmarkEnd w:id="115"/>
    </w:p>
    <w:p w14:paraId="16E9D701">
      <w:pPr>
        <w:pStyle w:val="98"/>
        <w:spacing w:before="120" w:after="120"/>
      </w:pPr>
      <w:bookmarkStart w:id="116" w:name="_Toc64712907"/>
      <w:r>
        <w:rPr>
          <w:rFonts w:hint="eastAsia"/>
        </w:rPr>
        <w:t>概述</w:t>
      </w:r>
      <w:bookmarkEnd w:id="116"/>
    </w:p>
    <w:p w14:paraId="23E9FBBC">
      <w:pPr>
        <w:pStyle w:val="60"/>
        <w:ind w:firstLine="420"/>
      </w:pPr>
      <w:r>
        <w:rPr>
          <w:rFonts w:hint="eastAsia"/>
        </w:rPr>
        <w:t>后果包括可能引发的现场灾情、次生衍生灾害、人员伤亡、财产损失、服务中断、社会影响、经济影响、环境和长期健康影响等。情景模拟是事件演化过程和后果分析的主要手段，情景模拟方法见附录B。</w:t>
      </w:r>
    </w:p>
    <w:p w14:paraId="626B21E1">
      <w:pPr>
        <w:pStyle w:val="98"/>
        <w:spacing w:before="120" w:after="120"/>
      </w:pPr>
      <w:bookmarkStart w:id="117" w:name="_Toc64712908"/>
      <w:r>
        <w:rPr>
          <w:rFonts w:hint="eastAsia"/>
        </w:rPr>
        <w:t>现场灾情</w:t>
      </w:r>
      <w:bookmarkEnd w:id="117"/>
    </w:p>
    <w:p w14:paraId="42FF92A0">
      <w:pPr>
        <w:pStyle w:val="60"/>
        <w:ind w:firstLine="420"/>
      </w:pPr>
      <w:r>
        <w:rPr>
          <w:rFonts w:hint="eastAsia"/>
        </w:rPr>
        <w:t>分析事件发生后的现场情况，例如危险物质的泄漏、工艺设施的破坏、生命线工程的中断、作业空间的破坏等。</w:t>
      </w:r>
    </w:p>
    <w:p w14:paraId="61A8CE74">
      <w:pPr>
        <w:pStyle w:val="98"/>
        <w:spacing w:before="120" w:after="120"/>
      </w:pPr>
      <w:bookmarkStart w:id="118" w:name="_Toc64712909"/>
      <w:r>
        <w:rPr>
          <w:rFonts w:hint="eastAsia"/>
        </w:rPr>
        <w:t>次衍生灾害</w:t>
      </w:r>
      <w:bookmarkEnd w:id="118"/>
    </w:p>
    <w:p w14:paraId="2405192D">
      <w:pPr>
        <w:pStyle w:val="60"/>
        <w:ind w:firstLine="420"/>
      </w:pPr>
      <w:r>
        <w:rPr>
          <w:rFonts w:hint="eastAsia"/>
        </w:rPr>
        <w:t>分析事件可能引发的次生衍生灾害，例如地震可能引发余震，危险化学品爆炸可能引发火灾、基础设施破坏、附近居民恐慌性疏散等。</w:t>
      </w:r>
    </w:p>
    <w:p w14:paraId="72A38F70">
      <w:pPr>
        <w:pStyle w:val="98"/>
        <w:spacing w:before="120" w:after="120"/>
      </w:pPr>
      <w:bookmarkStart w:id="119" w:name="_Toc64712910"/>
      <w:r>
        <w:rPr>
          <w:rFonts w:hint="eastAsia"/>
        </w:rPr>
        <w:t>人员伤亡</w:t>
      </w:r>
      <w:bookmarkEnd w:id="119"/>
    </w:p>
    <w:p w14:paraId="07C2AF75">
      <w:pPr>
        <w:pStyle w:val="60"/>
        <w:ind w:firstLine="420"/>
      </w:pPr>
      <w:r>
        <w:rPr>
          <w:rFonts w:hint="eastAsia"/>
        </w:rPr>
        <w:t>估算事件及其次生衍生灾害可能导致的死亡和受伤人数。估算方法如下：</w:t>
      </w:r>
    </w:p>
    <w:p w14:paraId="52D1C10B">
      <w:pPr>
        <w:pStyle w:val="179"/>
        <w:numPr>
          <w:ilvl w:val="0"/>
          <w:numId w:val="35"/>
        </w:numPr>
      </w:pPr>
      <w:r>
        <w:rPr>
          <w:rFonts w:hint="eastAsia"/>
        </w:rPr>
        <w:t>历史案例中真实造成的伤亡规模；</w:t>
      </w:r>
    </w:p>
    <w:p w14:paraId="53E79CE9">
      <w:pPr>
        <w:pStyle w:val="179"/>
      </w:pPr>
      <w:r>
        <w:rPr>
          <w:rFonts w:hint="eastAsia"/>
        </w:rPr>
        <w:t>根据灾害破坏力及周边人口分布等数据，进行计算机模拟仿真计算。</w:t>
      </w:r>
    </w:p>
    <w:p w14:paraId="777B6F48">
      <w:pPr>
        <w:pStyle w:val="98"/>
        <w:spacing w:before="120" w:after="120"/>
      </w:pPr>
      <w:bookmarkStart w:id="120" w:name="_Toc64712911"/>
      <w:r>
        <w:rPr>
          <w:rFonts w:hint="eastAsia"/>
        </w:rPr>
        <w:t>财产损失</w:t>
      </w:r>
      <w:bookmarkEnd w:id="120"/>
    </w:p>
    <w:p w14:paraId="556918C9">
      <w:pPr>
        <w:pStyle w:val="60"/>
        <w:ind w:firstLine="420"/>
      </w:pPr>
      <w:r>
        <w:rPr>
          <w:rFonts w:hint="eastAsia"/>
        </w:rPr>
        <w:t>估算事件及其次生衍生灾害可能导致的财产损失。估算方法如下：</w:t>
      </w:r>
    </w:p>
    <w:p w14:paraId="3BE8CC22">
      <w:pPr>
        <w:pStyle w:val="179"/>
        <w:numPr>
          <w:ilvl w:val="0"/>
          <w:numId w:val="36"/>
        </w:numPr>
      </w:pPr>
      <w:r>
        <w:rPr>
          <w:rFonts w:hint="eastAsia"/>
        </w:rPr>
        <w:t>历史案例中真实造成的财产损失规模；</w:t>
      </w:r>
    </w:p>
    <w:p w14:paraId="6CEC0A84">
      <w:pPr>
        <w:pStyle w:val="179"/>
      </w:pPr>
      <w:r>
        <w:rPr>
          <w:rFonts w:hint="eastAsia"/>
        </w:rPr>
        <w:t>根据事件的破坏力及周边经济规模等数据，选取适宜的模型进行计算机模拟仿真计算。</w:t>
      </w:r>
    </w:p>
    <w:p w14:paraId="365C65CF">
      <w:pPr>
        <w:pStyle w:val="98"/>
        <w:spacing w:before="120" w:after="120"/>
      </w:pPr>
      <w:bookmarkStart w:id="121" w:name="_Toc64712912"/>
      <w:r>
        <w:rPr>
          <w:rFonts w:hint="eastAsia"/>
        </w:rPr>
        <w:t>服务中断</w:t>
      </w:r>
      <w:bookmarkEnd w:id="121"/>
    </w:p>
    <w:p w14:paraId="11BA99C8">
      <w:pPr>
        <w:pStyle w:val="60"/>
        <w:ind w:firstLine="420"/>
      </w:pPr>
      <w:r>
        <w:rPr>
          <w:rFonts w:hint="eastAsia"/>
        </w:rPr>
        <w:t>分析并描述事件及其次生衍生灾害可能造成的重要基础设施、生命线工程和公共服务中断等情形。</w:t>
      </w:r>
    </w:p>
    <w:p w14:paraId="3EAA507E">
      <w:pPr>
        <w:pStyle w:val="98"/>
        <w:spacing w:before="120" w:after="120"/>
      </w:pPr>
      <w:bookmarkStart w:id="122" w:name="_Toc64712913"/>
      <w:r>
        <w:rPr>
          <w:rFonts w:hint="eastAsia"/>
        </w:rPr>
        <w:t>社会影响</w:t>
      </w:r>
      <w:bookmarkEnd w:id="122"/>
    </w:p>
    <w:p w14:paraId="26DECC83">
      <w:pPr>
        <w:pStyle w:val="60"/>
        <w:ind w:firstLine="420"/>
      </w:pPr>
      <w:r>
        <w:rPr>
          <w:rFonts w:hint="eastAsia"/>
        </w:rPr>
        <w:t>分析并描述事件及其次生衍生灾害可能对公众心理、社会舆情和公共秩序产生的间接影响，如社会恐慌等。</w:t>
      </w:r>
    </w:p>
    <w:p w14:paraId="4C589628">
      <w:pPr>
        <w:pStyle w:val="98"/>
        <w:spacing w:before="120" w:after="120"/>
      </w:pPr>
      <w:bookmarkStart w:id="123" w:name="_Toc64712914"/>
      <w:r>
        <w:rPr>
          <w:rFonts w:hint="eastAsia"/>
        </w:rPr>
        <w:t>经济影响</w:t>
      </w:r>
      <w:bookmarkEnd w:id="123"/>
    </w:p>
    <w:p w14:paraId="7D854AD4">
      <w:pPr>
        <w:pStyle w:val="60"/>
        <w:ind w:firstLine="420"/>
      </w:pPr>
      <w:r>
        <w:rPr>
          <w:rFonts w:hint="eastAsia"/>
        </w:rPr>
        <w:t>分析并描述事件及其次生衍生灾害可能对地方、行业和国家经济造成的间接影响，如关键物资产能下降、产业链中断、区域贸易规模下降等。</w:t>
      </w:r>
    </w:p>
    <w:p w14:paraId="7D94A019">
      <w:pPr>
        <w:pStyle w:val="98"/>
        <w:spacing w:before="120" w:after="120"/>
      </w:pPr>
      <w:bookmarkStart w:id="124" w:name="_Toc64712915"/>
      <w:r>
        <w:rPr>
          <w:rFonts w:hint="eastAsia"/>
        </w:rPr>
        <w:t>环境与长期健康影响</w:t>
      </w:r>
      <w:bookmarkEnd w:id="124"/>
    </w:p>
    <w:p w14:paraId="49CECD4D">
      <w:pPr>
        <w:pStyle w:val="60"/>
        <w:ind w:firstLine="420"/>
      </w:pPr>
      <w:r>
        <w:rPr>
          <w:rFonts w:hint="eastAsia"/>
        </w:rPr>
        <w:t>分析并描述事件及其次生衍生灾害可能对生态环境的污染和破坏，对事发地及周边公众产生的长期生理或心理伤害等。</w:t>
      </w:r>
    </w:p>
    <w:p w14:paraId="1DA6E44F">
      <w:pPr>
        <w:pStyle w:val="69"/>
        <w:spacing w:before="120" w:after="120"/>
      </w:pPr>
      <w:bookmarkStart w:id="125" w:name="_Toc64721868"/>
      <w:bookmarkStart w:id="126" w:name="_Toc64712966"/>
      <w:bookmarkStart w:id="127" w:name="_Toc64712921"/>
      <w:bookmarkStart w:id="128" w:name="_Toc171004964"/>
      <w:bookmarkStart w:id="129" w:name="_Toc64721867"/>
      <w:bookmarkStart w:id="130" w:name="_Toc64712916"/>
      <w:bookmarkStart w:id="131" w:name="_Toc64712965"/>
      <w:r>
        <w:rPr>
          <w:rFonts w:hint="eastAsia"/>
        </w:rPr>
        <w:t>展示情景</w:t>
      </w:r>
      <w:bookmarkEnd w:id="125"/>
      <w:bookmarkEnd w:id="126"/>
      <w:bookmarkEnd w:id="127"/>
      <w:bookmarkEnd w:id="128"/>
    </w:p>
    <w:p w14:paraId="26915C4E">
      <w:pPr>
        <w:pStyle w:val="60"/>
        <w:ind w:firstLine="420"/>
      </w:pPr>
      <w:r>
        <w:rPr>
          <w:rFonts w:hint="eastAsia"/>
        </w:rPr>
        <w:t>在文字描述基础上，如有必要，可辅以技术手段对情景予以展示，可以采用三维模拟仿真技术、视频编辑等方法对情景的演化过程、事件后果和主要的应对行动进行直观的展示。</w:t>
      </w:r>
    </w:p>
    <w:p w14:paraId="318ED941">
      <w:pPr>
        <w:pStyle w:val="108"/>
        <w:spacing w:before="240" w:after="240"/>
      </w:pPr>
      <w:bookmarkStart w:id="132" w:name="_Toc173425660"/>
      <w:bookmarkStart w:id="133" w:name="_Toc171004965"/>
      <w:bookmarkStart w:id="134" w:name="_Toc175560301"/>
      <w:bookmarkStart w:id="135" w:name="_Toc175560211"/>
      <w:r>
        <w:rPr>
          <w:rFonts w:hint="eastAsia"/>
        </w:rPr>
        <w:t>应急任务</w:t>
      </w:r>
      <w:bookmarkEnd w:id="129"/>
      <w:bookmarkEnd w:id="130"/>
      <w:bookmarkEnd w:id="131"/>
      <w:r>
        <w:rPr>
          <w:rFonts w:hint="eastAsia"/>
        </w:rPr>
        <w:t>梳理</w:t>
      </w:r>
      <w:bookmarkEnd w:id="132"/>
      <w:bookmarkEnd w:id="133"/>
      <w:bookmarkEnd w:id="134"/>
      <w:bookmarkEnd w:id="135"/>
    </w:p>
    <w:p w14:paraId="50315FF0">
      <w:pPr>
        <w:pStyle w:val="109"/>
        <w:spacing w:before="120" w:after="120"/>
      </w:pPr>
      <w:r>
        <w:rPr>
          <w:rFonts w:hint="eastAsia"/>
        </w:rPr>
        <w:t>通用要求</w:t>
      </w:r>
    </w:p>
    <w:p w14:paraId="113A656A">
      <w:pPr>
        <w:pStyle w:val="170"/>
      </w:pPr>
      <w:r>
        <w:rPr>
          <w:rFonts w:hint="eastAsia"/>
        </w:rPr>
        <w:t>应按照预防与应急准备、监测与预警、应急处置与救援、事后恢复与重建四个阶段，对应于预案的编制框架，梳理每个阶段的任务。</w:t>
      </w:r>
    </w:p>
    <w:p w14:paraId="08514437">
      <w:pPr>
        <w:pStyle w:val="170"/>
      </w:pPr>
      <w:r>
        <w:rPr>
          <w:rFonts w:hint="eastAsia"/>
        </w:rPr>
        <w:t>应明确承担各项任务的主责部门、协同部门及其主要职责，并分析完成该项任务的资源清单。</w:t>
      </w:r>
    </w:p>
    <w:p w14:paraId="30B2A801">
      <w:pPr>
        <w:pStyle w:val="109"/>
        <w:spacing w:before="120" w:after="120"/>
      </w:pPr>
      <w:bookmarkStart w:id="136" w:name="_Toc171004967"/>
      <w:bookmarkStart w:id="137" w:name="_Toc64712918"/>
      <w:r>
        <w:rPr>
          <w:rFonts w:hint="eastAsia"/>
        </w:rPr>
        <w:t xml:space="preserve"> 预防与应急准备</w:t>
      </w:r>
      <w:bookmarkEnd w:id="136"/>
      <w:bookmarkEnd w:id="137"/>
    </w:p>
    <w:p w14:paraId="50E406C7">
      <w:pPr>
        <w:pStyle w:val="170"/>
      </w:pPr>
      <w:r>
        <w:rPr>
          <w:rFonts w:hint="eastAsia"/>
        </w:rPr>
        <w:t>该阶段应预防或阻止危险源发生突发事件，同时针对可能发生的突发事件做好应急准备工作。</w:t>
      </w:r>
    </w:p>
    <w:p w14:paraId="56E4E705">
      <w:pPr>
        <w:pStyle w:val="170"/>
      </w:pPr>
      <w:r>
        <w:rPr>
          <w:rFonts w:hint="eastAsia"/>
        </w:rPr>
        <w:t>该阶段的任务包括开展危险源和风险辨识、实施规划设计和工程技术方面的风险控制措施、落实重要基础设施防护等预防措施，以及实施应急预案动态管理、培训及演练、应急救援队伍建设、物资装备储备、避难场所规划等应急准备措施。</w:t>
      </w:r>
    </w:p>
    <w:p w14:paraId="267F85C8">
      <w:pPr>
        <w:pStyle w:val="109"/>
        <w:spacing w:before="120" w:after="120"/>
      </w:pPr>
      <w:bookmarkStart w:id="138" w:name="_Toc171004968"/>
      <w:bookmarkStart w:id="139" w:name="_Toc64712919"/>
      <w:r>
        <w:rPr>
          <w:rFonts w:hint="eastAsia"/>
        </w:rPr>
        <w:t>监测与预警</w:t>
      </w:r>
      <w:bookmarkEnd w:id="138"/>
      <w:bookmarkEnd w:id="139"/>
      <w:r>
        <w:rPr>
          <w:rFonts w:hint="eastAsia"/>
        </w:rPr>
        <w:t xml:space="preserve"> </w:t>
      </w:r>
    </w:p>
    <w:p w14:paraId="053C10C4">
      <w:pPr>
        <w:pStyle w:val="170"/>
      </w:pPr>
      <w:r>
        <w:rPr>
          <w:rFonts w:hint="eastAsia"/>
        </w:rPr>
        <w:t>该阶段应对可能发生突发事件的危险源的特征参数进行监测并及时发布预警信息、采取防范措施。</w:t>
      </w:r>
    </w:p>
    <w:p w14:paraId="6C5BF123">
      <w:pPr>
        <w:pStyle w:val="170"/>
      </w:pPr>
      <w:r>
        <w:rPr>
          <w:rFonts w:hint="eastAsia"/>
        </w:rPr>
        <w:t>该阶段的任务包括信息采集、情报分析、预警发布、预警响应等。</w:t>
      </w:r>
    </w:p>
    <w:p w14:paraId="1E3EC5ED">
      <w:pPr>
        <w:pStyle w:val="109"/>
        <w:spacing w:before="120" w:after="120"/>
      </w:pPr>
      <w:bookmarkStart w:id="140" w:name="_Toc171004969"/>
      <w:bookmarkStart w:id="141" w:name="_Toc64712920"/>
      <w:r>
        <w:rPr>
          <w:rFonts w:hint="eastAsia"/>
        </w:rPr>
        <w:t>应急处置与救援</w:t>
      </w:r>
      <w:bookmarkEnd w:id="140"/>
      <w:bookmarkEnd w:id="141"/>
    </w:p>
    <w:p w14:paraId="693BD276">
      <w:pPr>
        <w:pStyle w:val="170"/>
      </w:pPr>
      <w:r>
        <w:rPr>
          <w:rFonts w:hint="eastAsia"/>
        </w:rPr>
        <w:t>应急处置与救援阶段可以细分为先期处置、现场救援与处置和社会响应三个阶段。</w:t>
      </w:r>
    </w:p>
    <w:p w14:paraId="3705F001">
      <w:pPr>
        <w:pStyle w:val="170"/>
      </w:pPr>
      <w:r>
        <w:rPr>
          <w:rFonts w:hint="eastAsia"/>
        </w:rPr>
        <w:t>先期处置阶段为事件发生后至现场指挥部成立的阶段。该阶段的应急任务包括灾情判断、信息报告、一线处置、人员搜救、控制直接灾害后果等，先期处置应注意搜救人员的安全。</w:t>
      </w:r>
    </w:p>
    <w:p w14:paraId="79D528DB">
      <w:pPr>
        <w:pStyle w:val="170"/>
      </w:pPr>
      <w:r>
        <w:rPr>
          <w:rFonts w:hint="eastAsia"/>
        </w:rPr>
        <w:t>现场救援与处置阶段指现场指挥部成立后，对现场及周边开展救援与处置的阶段。该阶段的应急任务包括监测评估现场形势，消除现场危害因素，开展人员搜救、医疗救治、信息发布、队伍保障、物资保障、避难场所保障、通信保障、交通保障、公众保护（疏散安置）、受害人员心理干预、遇难者善后服务等。</w:t>
      </w:r>
    </w:p>
    <w:p w14:paraId="018D593E">
      <w:pPr>
        <w:pStyle w:val="170"/>
      </w:pPr>
      <w:r>
        <w:rPr>
          <w:rFonts w:hint="eastAsia"/>
        </w:rPr>
        <w:t>社会响应阶段为事件引发的后果和社会影响全面显现，开始出现综合、复杂的社会面问题的阶段。该阶段的应急任务包括舆情应对、基础设施和关键资源保护、环境与生态保护等，以及向其他部门、周边地区请求支援等。</w:t>
      </w:r>
    </w:p>
    <w:p w14:paraId="26A5406B">
      <w:pPr>
        <w:pStyle w:val="109"/>
        <w:spacing w:before="120" w:after="120"/>
      </w:pPr>
      <w:bookmarkStart w:id="142" w:name="_Toc171004970"/>
      <w:r>
        <w:rPr>
          <w:rFonts w:hint="eastAsia"/>
        </w:rPr>
        <w:t>事后恢复与重建</w:t>
      </w:r>
      <w:bookmarkEnd w:id="142"/>
    </w:p>
    <w:p w14:paraId="2CA518BF">
      <w:pPr>
        <w:pStyle w:val="170"/>
      </w:pPr>
      <w:r>
        <w:rPr>
          <w:rFonts w:hint="eastAsia"/>
        </w:rPr>
        <w:t>事后恢复与重建阶段应在尽可能短的时间内恢复基本状态，并在相对长的时间内恢复到事件发生前状态。</w:t>
      </w:r>
    </w:p>
    <w:p w14:paraId="54B32E7D">
      <w:pPr>
        <w:pStyle w:val="170"/>
      </w:pPr>
      <w:r>
        <w:rPr>
          <w:rFonts w:hint="eastAsia"/>
        </w:rPr>
        <w:t>短期恢复期间的任务包括公共设施初步恢复、受害者救助补偿、公众心理抚慰等，长期恢复重建任务包括受害人员长期安置、基础设施和建筑物修复、环境与自然资源恢复、社会经济恢复等。</w:t>
      </w:r>
    </w:p>
    <w:p w14:paraId="790B6476">
      <w:pPr>
        <w:pStyle w:val="108"/>
        <w:spacing w:before="240" w:after="240"/>
      </w:pPr>
      <w:bookmarkStart w:id="143" w:name="_Toc173425661"/>
      <w:bookmarkStart w:id="144" w:name="_Toc175560212"/>
      <w:bookmarkStart w:id="145" w:name="_Toc171004971"/>
      <w:bookmarkStart w:id="146" w:name="_Toc175560302"/>
      <w:r>
        <w:rPr>
          <w:rFonts w:hint="eastAsia"/>
        </w:rPr>
        <w:t>应急能力</w:t>
      </w:r>
      <w:bookmarkEnd w:id="143"/>
      <w:bookmarkEnd w:id="144"/>
      <w:bookmarkEnd w:id="145"/>
      <w:r>
        <w:rPr>
          <w:rFonts w:hint="eastAsia"/>
        </w:rPr>
        <w:t>分析</w:t>
      </w:r>
      <w:bookmarkEnd w:id="146"/>
      <w:r>
        <w:rPr>
          <w:rFonts w:hint="eastAsia"/>
        </w:rPr>
        <w:t xml:space="preserve"> </w:t>
      </w:r>
    </w:p>
    <w:p w14:paraId="4519EC5E">
      <w:pPr>
        <w:pStyle w:val="109"/>
        <w:spacing w:before="120" w:after="120"/>
      </w:pPr>
      <w:r>
        <w:rPr>
          <w:rFonts w:hint="eastAsia"/>
        </w:rPr>
        <w:t>通用要求</w:t>
      </w:r>
    </w:p>
    <w:p w14:paraId="0E8DA266">
      <w:pPr>
        <w:pStyle w:val="60"/>
        <w:ind w:firstLine="420"/>
      </w:pPr>
      <w:r>
        <w:rPr>
          <w:rFonts w:hint="eastAsia"/>
        </w:rPr>
        <w:t>基于情景对照的任务要素分析，应对组织机构应具备的应急能力进行梳理归纳，明确组织机构的应急能力建设目标，对应急能力建设规划提供支撑。</w:t>
      </w:r>
    </w:p>
    <w:p w14:paraId="6A9BEB22">
      <w:pPr>
        <w:pStyle w:val="109"/>
        <w:spacing w:before="120" w:after="120"/>
      </w:pPr>
      <w:bookmarkStart w:id="147" w:name="_Toc64712926"/>
      <w:bookmarkStart w:id="148" w:name="_Toc171004973"/>
      <w:r>
        <w:rPr>
          <w:rFonts w:hint="eastAsia"/>
        </w:rPr>
        <w:t>应急能力需求分析</w:t>
      </w:r>
      <w:bookmarkEnd w:id="147"/>
      <w:bookmarkEnd w:id="148"/>
    </w:p>
    <w:p w14:paraId="7A986D83">
      <w:pPr>
        <w:pStyle w:val="170"/>
      </w:pPr>
      <w:r>
        <w:rPr>
          <w:rFonts w:hint="eastAsia"/>
        </w:rPr>
        <w:t>应急能力由组织架构、运行机制、人员与队伍、物资装备、应急预案和演练培训等要素构成。</w:t>
      </w:r>
    </w:p>
    <w:p w14:paraId="44AE2596">
      <w:pPr>
        <w:pStyle w:val="170"/>
      </w:pPr>
      <w:r>
        <w:rPr>
          <w:rFonts w:hint="eastAsia"/>
        </w:rPr>
        <w:t>对组织应急能力的需求分析，可转换为以情景应对为目标，包括各项能力要素需要达到的标准、数量或水平。</w:t>
      </w:r>
    </w:p>
    <w:p w14:paraId="67E4D404">
      <w:pPr>
        <w:pStyle w:val="109"/>
        <w:spacing w:before="120" w:after="120"/>
      </w:pPr>
      <w:bookmarkStart w:id="149" w:name="_Toc64712927"/>
      <w:bookmarkStart w:id="150" w:name="_Toc171004974"/>
      <w:r>
        <w:rPr>
          <w:rFonts w:hint="eastAsia"/>
        </w:rPr>
        <w:t>应急能力现状分析</w:t>
      </w:r>
      <w:bookmarkEnd w:id="149"/>
      <w:bookmarkEnd w:id="150"/>
    </w:p>
    <w:p w14:paraId="50A68634">
      <w:pPr>
        <w:pStyle w:val="60"/>
        <w:ind w:firstLine="420"/>
      </w:pPr>
      <w:r>
        <w:rPr>
          <w:rFonts w:hint="eastAsia"/>
        </w:rPr>
        <w:t>根据应急能力需求分析结果，逐项分析组织机构的现有能力情况，即各项能力要素的数量和水平。</w:t>
      </w:r>
    </w:p>
    <w:p w14:paraId="1F77502F">
      <w:pPr>
        <w:pStyle w:val="109"/>
        <w:spacing w:before="120" w:after="120"/>
      </w:pPr>
      <w:bookmarkStart w:id="151" w:name="_Toc64712928"/>
      <w:bookmarkStart w:id="152" w:name="_Toc171004975"/>
      <w:r>
        <w:rPr>
          <w:rFonts w:hint="eastAsia"/>
        </w:rPr>
        <w:t>应急能力提升规划</w:t>
      </w:r>
      <w:bookmarkEnd w:id="151"/>
      <w:bookmarkEnd w:id="152"/>
    </w:p>
    <w:p w14:paraId="3F4BE601">
      <w:pPr>
        <w:pStyle w:val="60"/>
        <w:ind w:firstLine="420"/>
      </w:pPr>
      <w:r>
        <w:rPr>
          <w:rFonts w:hint="eastAsia"/>
        </w:rPr>
        <w:t>逐项对应急能力需求和现状进行评估，在二者不匹配的情况下，应按照需求进行应急能力提升规划的编制，并填写《应急能力评估与规划表》（见附录C）。</w:t>
      </w:r>
    </w:p>
    <w:p w14:paraId="5DC3806A">
      <w:pPr>
        <w:pStyle w:val="108"/>
        <w:spacing w:before="240" w:after="240"/>
      </w:pPr>
      <w:bookmarkStart w:id="153" w:name="_Toc171004977"/>
      <w:bookmarkStart w:id="154" w:name="_Toc175560213"/>
      <w:bookmarkStart w:id="155" w:name="_Toc173425662"/>
      <w:bookmarkStart w:id="156" w:name="_Toc175560303"/>
      <w:r>
        <w:rPr>
          <w:rFonts w:hint="eastAsia"/>
        </w:rPr>
        <w:t>应急预案</w:t>
      </w:r>
      <w:bookmarkEnd w:id="153"/>
      <w:r>
        <w:rPr>
          <w:rFonts w:hint="eastAsia"/>
        </w:rPr>
        <w:t>体系评估</w:t>
      </w:r>
      <w:bookmarkEnd w:id="154"/>
      <w:bookmarkEnd w:id="155"/>
      <w:bookmarkEnd w:id="156"/>
      <w:r>
        <w:rPr>
          <w:rFonts w:hint="eastAsia"/>
        </w:rPr>
        <w:t>优化</w:t>
      </w:r>
    </w:p>
    <w:p w14:paraId="30224A5C">
      <w:pPr>
        <w:pStyle w:val="109"/>
        <w:spacing w:before="120" w:after="120"/>
      </w:pPr>
      <w:r>
        <w:rPr>
          <w:rFonts w:hint="eastAsia"/>
        </w:rPr>
        <w:t>通用要求</w:t>
      </w:r>
    </w:p>
    <w:p w14:paraId="2E8B7BD2">
      <w:pPr>
        <w:pStyle w:val="60"/>
        <w:ind w:firstLine="420"/>
      </w:pPr>
      <w:r>
        <w:rPr>
          <w:rFonts w:hint="eastAsia"/>
        </w:rPr>
        <w:t>依据开发的突发事件情景，对现有预案体系进行评估，查找存在的问题和不足，补充、完善应急预案体系。</w:t>
      </w:r>
    </w:p>
    <w:p w14:paraId="3819FD4F">
      <w:pPr>
        <w:pStyle w:val="109"/>
        <w:spacing w:before="120" w:after="120"/>
      </w:pPr>
      <w:bookmarkStart w:id="157" w:name="_Toc64712931"/>
      <w:bookmarkStart w:id="158" w:name="_Toc171004979"/>
      <w:r>
        <w:rPr>
          <w:rFonts w:hint="eastAsia"/>
        </w:rPr>
        <w:t>应急预案体系</w:t>
      </w:r>
      <w:bookmarkEnd w:id="157"/>
      <w:bookmarkEnd w:id="158"/>
      <w:r>
        <w:rPr>
          <w:rFonts w:hint="eastAsia"/>
        </w:rPr>
        <w:t>评估</w:t>
      </w:r>
    </w:p>
    <w:p w14:paraId="58178741">
      <w:pPr>
        <w:pStyle w:val="170"/>
      </w:pPr>
      <w:r>
        <w:rPr>
          <w:rFonts w:hint="eastAsia"/>
        </w:rPr>
        <w:t>根据开发的突发事件情景，基于应急任务清单与任务支撑要素分析表，从全面性、衔接性、任务主体完整性、任务程序可行性、任务可持续性、支撑资源完备性六方面对照评估应急预案体系是否完备，各项预案是否具备针对性和实用性。</w:t>
      </w:r>
    </w:p>
    <w:p w14:paraId="19ACB45D">
      <w:pPr>
        <w:pStyle w:val="170"/>
      </w:pPr>
      <w:r>
        <w:rPr>
          <w:rFonts w:hint="eastAsia"/>
        </w:rPr>
        <w:t>全面性是指预案体系是否涵盖任务清单中的全部任务。</w:t>
      </w:r>
    </w:p>
    <w:p w14:paraId="11900EE8">
      <w:pPr>
        <w:pStyle w:val="170"/>
      </w:pPr>
      <w:r>
        <w:rPr>
          <w:rFonts w:hint="eastAsia"/>
        </w:rPr>
        <w:t>衔接性是指相关预案所针对各项任务的表述是否一致，是否可以衔接。</w:t>
      </w:r>
    </w:p>
    <w:p w14:paraId="5E9899D2">
      <w:pPr>
        <w:pStyle w:val="170"/>
      </w:pPr>
      <w:r>
        <w:rPr>
          <w:rFonts w:hint="eastAsia"/>
        </w:rPr>
        <w:t>任务主体完整性是指预案体系中关于各项任务的主责部门、协同部门，及部门间协同机制的表述是否完整、一致、可行。</w:t>
      </w:r>
    </w:p>
    <w:p w14:paraId="1F51E854">
      <w:pPr>
        <w:pStyle w:val="170"/>
      </w:pPr>
      <w:r>
        <w:rPr>
          <w:rFonts w:hint="eastAsia"/>
        </w:rPr>
        <w:t>任务程序可行性是指预案体系中关于各项任务执行程序的描述是否完整，任务程序是否可以满足该类事件的时间约束。</w:t>
      </w:r>
    </w:p>
    <w:p w14:paraId="244AAC98">
      <w:pPr>
        <w:pStyle w:val="170"/>
      </w:pPr>
      <w:r>
        <w:rPr>
          <w:rFonts w:hint="eastAsia"/>
        </w:rPr>
        <w:t>任务可持续性是指在情景中可能会出现的业务中断背景下，例如通信中断、交通堵塞，是否考虑了完成该项任务的备选方案。</w:t>
      </w:r>
    </w:p>
    <w:p w14:paraId="5FCC0108">
      <w:pPr>
        <w:pStyle w:val="170"/>
      </w:pPr>
      <w:r>
        <w:rPr>
          <w:rFonts w:hint="eastAsia"/>
        </w:rPr>
        <w:t>支撑资源完备性是指预案体系中是否针对各项任务的支撑资源开展了差距分析，并对资源的补充调用机制进行了考虑。</w:t>
      </w:r>
    </w:p>
    <w:p w14:paraId="30508A7D">
      <w:pPr>
        <w:pStyle w:val="109"/>
        <w:spacing w:before="120" w:after="120"/>
      </w:pPr>
      <w:bookmarkStart w:id="159" w:name="_Toc171004981"/>
      <w:bookmarkStart w:id="160" w:name="_Toc64712933"/>
      <w:r>
        <w:rPr>
          <w:rFonts w:hint="eastAsia"/>
        </w:rPr>
        <w:t>应急预案衔接</w:t>
      </w:r>
      <w:bookmarkEnd w:id="159"/>
      <w:bookmarkEnd w:id="160"/>
    </w:p>
    <w:p w14:paraId="1CDDBD8C">
      <w:pPr>
        <w:pStyle w:val="69"/>
        <w:spacing w:before="120" w:after="120"/>
      </w:pPr>
      <w:r>
        <w:rPr>
          <w:rFonts w:hint="eastAsia"/>
        </w:rPr>
        <w:t>任务执行连贯性</w:t>
      </w:r>
    </w:p>
    <w:p w14:paraId="01BD5910">
      <w:pPr>
        <w:pStyle w:val="60"/>
        <w:ind w:firstLine="420"/>
      </w:pPr>
      <w:r>
        <w:rPr>
          <w:rFonts w:hint="eastAsia"/>
        </w:rPr>
        <w:t>以任务为主线，提升相关预案之间的衔接，包括不同预案对主责部门任务、协同部门任务以及任务执行程序表述的一致性。</w:t>
      </w:r>
    </w:p>
    <w:p w14:paraId="580E6CF0">
      <w:pPr>
        <w:pStyle w:val="69"/>
        <w:spacing w:before="120" w:after="120"/>
      </w:pPr>
      <w:r>
        <w:rPr>
          <w:rFonts w:hint="eastAsia"/>
        </w:rPr>
        <w:t>信息沟通连贯性</w:t>
      </w:r>
    </w:p>
    <w:p w14:paraId="3C7620E3">
      <w:pPr>
        <w:pStyle w:val="60"/>
        <w:ind w:firstLine="420"/>
      </w:pPr>
      <w:r>
        <w:rPr>
          <w:rFonts w:hint="eastAsia"/>
        </w:rPr>
        <w:t>以信息为主线，提升相关预案之间的衔接，包括不同预案中对信息传递路径（信息报告出口与接口、信息报告时限、信息报告方式等）表述的一致性，信息共享机制、信息研判机制、态势分析机制表述的一致性。</w:t>
      </w:r>
    </w:p>
    <w:p w14:paraId="1AD86BF3">
      <w:pPr>
        <w:pStyle w:val="69"/>
        <w:spacing w:before="120" w:after="120"/>
      </w:pPr>
      <w:r>
        <w:rPr>
          <w:rFonts w:hint="eastAsia"/>
        </w:rPr>
        <w:t>资源调度连贯性</w:t>
      </w:r>
    </w:p>
    <w:p w14:paraId="7BB207B0">
      <w:pPr>
        <w:pStyle w:val="60"/>
        <w:ind w:firstLine="420"/>
      </w:pPr>
      <w:r>
        <w:rPr>
          <w:rFonts w:hint="eastAsia"/>
        </w:rPr>
        <w:t>以应急资源管理为主线，提升相关预案之间的衔接，包括不同预案对同类资源调度机制的一致性。</w:t>
      </w:r>
    </w:p>
    <w:p w14:paraId="77DDF6E7">
      <w:pPr>
        <w:pStyle w:val="69"/>
        <w:spacing w:before="120" w:after="120"/>
      </w:pPr>
      <w:r>
        <w:rPr>
          <w:rFonts w:hint="eastAsia"/>
        </w:rPr>
        <w:t>响应升级连贯性</w:t>
      </w:r>
    </w:p>
    <w:p w14:paraId="1955E173">
      <w:pPr>
        <w:pStyle w:val="60"/>
        <w:ind w:firstLine="420"/>
      </w:pPr>
      <w:r>
        <w:rPr>
          <w:rFonts w:hint="eastAsia"/>
        </w:rPr>
        <w:t>以事件的态势演化为主线，提升相关预案之间的衔接，包括不同预案之间对事件响应升级过程中的指挥权移交、组织架构变更、任务调整、工作交接等行为表述的一致性。</w:t>
      </w:r>
    </w:p>
    <w:p w14:paraId="0EB6B10D">
      <w:pPr>
        <w:pStyle w:val="108"/>
        <w:spacing w:before="240" w:after="240"/>
      </w:pPr>
      <w:bookmarkStart w:id="161" w:name="_Toc64712932"/>
      <w:bookmarkStart w:id="162" w:name="_Toc171004980"/>
      <w:bookmarkStart w:id="163" w:name="_Toc173425663"/>
      <w:bookmarkStart w:id="164" w:name="_Toc175560214"/>
      <w:bookmarkStart w:id="165" w:name="_Toc175560304"/>
      <w:r>
        <w:rPr>
          <w:rFonts w:hint="eastAsia"/>
        </w:rPr>
        <w:t>应急预案</w:t>
      </w:r>
      <w:bookmarkEnd w:id="161"/>
      <w:r>
        <w:rPr>
          <w:rFonts w:hint="eastAsia"/>
        </w:rPr>
        <w:t>编制与</w:t>
      </w:r>
      <w:bookmarkEnd w:id="162"/>
      <w:r>
        <w:rPr>
          <w:rFonts w:hint="eastAsia"/>
        </w:rPr>
        <w:t>修订</w:t>
      </w:r>
      <w:bookmarkEnd w:id="163"/>
      <w:bookmarkEnd w:id="164"/>
      <w:bookmarkEnd w:id="165"/>
      <w:r>
        <w:rPr>
          <w:rFonts w:hint="eastAsia"/>
        </w:rPr>
        <w:t xml:space="preserve"> </w:t>
      </w:r>
    </w:p>
    <w:p w14:paraId="11B30303">
      <w:pPr>
        <w:pStyle w:val="109"/>
        <w:spacing w:before="120" w:after="120"/>
      </w:pPr>
      <w:r>
        <w:rPr>
          <w:rFonts w:hint="eastAsia"/>
        </w:rPr>
        <w:t>通用要求</w:t>
      </w:r>
    </w:p>
    <w:p w14:paraId="1B8741EA">
      <w:pPr>
        <w:pStyle w:val="60"/>
        <w:ind w:firstLine="420"/>
      </w:pPr>
      <w:r>
        <w:rPr>
          <w:rFonts w:hint="eastAsia"/>
        </w:rPr>
        <w:t>依据情景构建结果以及应急预案体系评估结果编制或修订应急预案时，应符合事件演变的规律，同时对任务分配和资源保障等方面进行全面描述。</w:t>
      </w:r>
    </w:p>
    <w:p w14:paraId="2EF86DD9">
      <w:pPr>
        <w:pStyle w:val="109"/>
        <w:spacing w:before="120" w:after="120"/>
      </w:pPr>
      <w:r>
        <w:rPr>
          <w:rFonts w:hint="eastAsia"/>
        </w:rPr>
        <w:t>应急预案补充完善</w:t>
      </w:r>
    </w:p>
    <w:p w14:paraId="0B9AEE62">
      <w:pPr>
        <w:pStyle w:val="69"/>
        <w:spacing w:before="120" w:after="120"/>
      </w:pPr>
      <w:r>
        <w:rPr>
          <w:rFonts w:hint="eastAsia"/>
        </w:rPr>
        <w:t>补充缺失任务</w:t>
      </w:r>
    </w:p>
    <w:p w14:paraId="51B7E331">
      <w:pPr>
        <w:pStyle w:val="60"/>
        <w:ind w:firstLine="420"/>
      </w:pPr>
      <w:r>
        <w:rPr>
          <w:rFonts w:hint="eastAsia"/>
        </w:rPr>
        <w:t>针对预案体系中没有覆盖的应急任务，基于该项任务的支撑要素分析表，在相关预案中进行补充。</w:t>
      </w:r>
    </w:p>
    <w:p w14:paraId="1693B47B">
      <w:pPr>
        <w:pStyle w:val="69"/>
        <w:spacing w:before="120" w:after="120"/>
      </w:pPr>
      <w:r>
        <w:rPr>
          <w:rFonts w:hint="eastAsia"/>
        </w:rPr>
        <w:t>补充实战措施</w:t>
      </w:r>
    </w:p>
    <w:p w14:paraId="3B7F98D1">
      <w:pPr>
        <w:pStyle w:val="60"/>
        <w:ind w:firstLine="420"/>
      </w:pPr>
      <w:r>
        <w:rPr>
          <w:rFonts w:hint="eastAsia"/>
        </w:rPr>
        <w:t>基于情景支撑，召集相关方开展风险沟通与能力评估，从实战角度出发编制或修订预案，建立任务执行程序流程图，且充分考虑该类事件的时间约束、资源约束、业务约束等不确定性条件。</w:t>
      </w:r>
    </w:p>
    <w:p w14:paraId="2916645E">
      <w:pPr>
        <w:pStyle w:val="69"/>
        <w:spacing w:before="120" w:after="120"/>
      </w:pPr>
      <w:r>
        <w:rPr>
          <w:rFonts w:hint="eastAsia"/>
        </w:rPr>
        <w:t>补充协同机制</w:t>
      </w:r>
    </w:p>
    <w:p w14:paraId="5B1526D7">
      <w:pPr>
        <w:pStyle w:val="60"/>
        <w:ind w:firstLine="420"/>
      </w:pPr>
      <w:r>
        <w:rPr>
          <w:rFonts w:hint="eastAsia"/>
        </w:rPr>
        <w:t>预案编制或修订过程中，推进相关部门之间的会商，补充各任务主责部门、协同部门之间的协同机制。</w:t>
      </w:r>
    </w:p>
    <w:p w14:paraId="557FE4E4">
      <w:pPr>
        <w:pStyle w:val="69"/>
        <w:spacing w:before="120" w:after="120"/>
      </w:pPr>
      <w:r>
        <w:rPr>
          <w:rFonts w:hint="eastAsia"/>
        </w:rPr>
        <w:t>补充部门统筹机制</w:t>
      </w:r>
    </w:p>
    <w:p w14:paraId="267CD00D">
      <w:pPr>
        <w:pStyle w:val="60"/>
        <w:ind w:firstLine="420"/>
      </w:pPr>
      <w:r>
        <w:rPr>
          <w:rFonts w:hint="eastAsia"/>
        </w:rPr>
        <w:t>针对单个部门需要参与的多项任务（包括主责任务、协同任务），从部门角度出发，研究情景演化规律背景下的资源统筹机制，并补充进部门预案。</w:t>
      </w:r>
    </w:p>
    <w:p w14:paraId="1D4658AB">
      <w:pPr>
        <w:pStyle w:val="69"/>
        <w:spacing w:before="120" w:after="120"/>
      </w:pPr>
      <w:r>
        <w:rPr>
          <w:rFonts w:hint="eastAsia"/>
        </w:rPr>
        <w:t>补充应急资源调度机制</w:t>
      </w:r>
    </w:p>
    <w:p w14:paraId="2EC458B6">
      <w:pPr>
        <w:pStyle w:val="60"/>
        <w:ind w:firstLine="420"/>
      </w:pPr>
      <w:r>
        <w:rPr>
          <w:rFonts w:hint="eastAsia"/>
        </w:rPr>
        <w:t>针对同一类资源需要支撑多项任务，基于资源调查和情景演化规律研究，建立单项资源调度机制（含组织内的资源调度机制、市场资源储备机制、周边资源调度协议、区域资源统筹协议等），补充进资源主管部门的部门预案，或者单独编制资源保障预案。</w:t>
      </w:r>
    </w:p>
    <w:p w14:paraId="3D8C079F">
      <w:pPr>
        <w:pStyle w:val="109"/>
        <w:spacing w:before="120" w:after="120"/>
      </w:pPr>
      <w:r>
        <w:rPr>
          <w:rFonts w:hint="eastAsia"/>
        </w:rPr>
        <w:t>应急预案实施与改进</w:t>
      </w:r>
    </w:p>
    <w:p w14:paraId="400D3FDE">
      <w:pPr>
        <w:pStyle w:val="60"/>
        <w:ind w:firstLine="420"/>
      </w:pPr>
      <w:r>
        <w:rPr>
          <w:rFonts w:hint="eastAsia"/>
        </w:rPr>
        <w:t>应急预案印发后，</w:t>
      </w:r>
      <w:bookmarkStart w:id="166" w:name="_Hlk172666308"/>
      <w:r>
        <w:rPr>
          <w:rFonts w:hint="eastAsia"/>
        </w:rPr>
        <w:t>专项应急预案、部门应急预案应至少每3年进行一次演练</w:t>
      </w:r>
      <w:bookmarkEnd w:id="166"/>
      <w:r>
        <w:rPr>
          <w:rFonts w:hint="eastAsia"/>
        </w:rPr>
        <w:t>，通过演练和培训进行评估，适时对预案进行更新和修订，实现应急预案持续改进。</w:t>
      </w:r>
    </w:p>
    <w:p w14:paraId="57581112">
      <w:pPr>
        <w:pStyle w:val="60"/>
        <w:ind w:firstLine="420"/>
      </w:pPr>
    </w:p>
    <w:p w14:paraId="6893CF2E">
      <w:pPr>
        <w:pStyle w:val="60"/>
        <w:ind w:firstLine="420"/>
      </w:pPr>
    </w:p>
    <w:p w14:paraId="3FA60A52">
      <w:pPr>
        <w:pStyle w:val="60"/>
        <w:ind w:firstLine="420"/>
        <w:sectPr>
          <w:footerReference r:id="rId14" w:type="default"/>
          <w:pgSz w:w="11906" w:h="16838"/>
          <w:pgMar w:top="567" w:right="1134" w:bottom="1134" w:left="1134" w:header="1418" w:footer="1134" w:gutter="284"/>
          <w:pgNumType w:fmt="decimal" w:start="1"/>
          <w:cols w:space="425" w:num="1"/>
          <w:formProt w:val="0"/>
          <w:docGrid w:linePitch="312" w:charSpace="0"/>
        </w:sectPr>
      </w:pPr>
    </w:p>
    <w:p w14:paraId="10171538">
      <w:pPr>
        <w:pStyle w:val="203"/>
        <w:spacing w:before="120" w:after="120"/>
        <w:rPr>
          <w:rFonts w:hint="eastAsia"/>
        </w:rPr>
      </w:pPr>
    </w:p>
    <w:p w14:paraId="6095CD7F">
      <w:pPr>
        <w:pStyle w:val="204"/>
        <w:spacing w:before="120" w:after="120"/>
      </w:pPr>
    </w:p>
    <w:p w14:paraId="6DF97E44">
      <w:pPr>
        <w:pStyle w:val="80"/>
        <w:spacing w:before="60" w:beforeLines="25" w:after="120"/>
      </w:pPr>
      <w:bookmarkStart w:id="167" w:name="BookMark5"/>
      <w:r>
        <w:br w:type="textWrapping"/>
      </w:r>
      <w:bookmarkStart w:id="168" w:name="_Toc64712939"/>
      <w:bookmarkStart w:id="169" w:name="_Toc175560215"/>
      <w:bookmarkStart w:id="170" w:name="_Toc173425664"/>
      <w:bookmarkStart w:id="171" w:name="_Toc64721875"/>
      <w:bookmarkStart w:id="172" w:name="_Toc64712973"/>
      <w:bookmarkStart w:id="173" w:name="_Toc175560305"/>
      <w:bookmarkStart w:id="174" w:name="_Toc171004982"/>
      <w:r>
        <w:rPr>
          <w:rFonts w:hint="eastAsia"/>
        </w:rPr>
        <w:t>（资料性）</w:t>
      </w:r>
      <w:r>
        <w:br w:type="textWrapping"/>
      </w:r>
      <w:r>
        <w:rPr>
          <w:rFonts w:hint="eastAsia"/>
        </w:rPr>
        <w:t>情景简表（示例）</w:t>
      </w:r>
      <w:bookmarkEnd w:id="168"/>
      <w:bookmarkEnd w:id="169"/>
      <w:bookmarkEnd w:id="170"/>
      <w:bookmarkEnd w:id="171"/>
      <w:bookmarkEnd w:id="172"/>
      <w:bookmarkEnd w:id="173"/>
      <w:bookmarkEnd w:id="174"/>
    </w:p>
    <w:p w14:paraId="176DDD95">
      <w:pPr>
        <w:pStyle w:val="60"/>
        <w:ind w:firstLine="420"/>
      </w:pPr>
      <w:bookmarkStart w:id="175" w:name="_Hlk140487128"/>
      <w:r>
        <w:rPr>
          <w:rFonts w:hint="eastAsia"/>
        </w:rPr>
        <w:t>情景简表</w:t>
      </w:r>
      <w:r>
        <w:rPr>
          <w:rFonts w:hint="eastAsia"/>
          <w:lang w:eastAsia="zh-CN"/>
        </w:rPr>
        <w:t>（</w:t>
      </w:r>
      <w:r>
        <w:rPr>
          <w:rFonts w:hint="eastAsia"/>
        </w:rPr>
        <w:t>示例</w:t>
      </w:r>
      <w:r>
        <w:rPr>
          <w:rFonts w:hint="eastAsia"/>
          <w:lang w:eastAsia="zh-CN"/>
        </w:rPr>
        <w:t>）</w:t>
      </w:r>
      <w:r>
        <w:rPr>
          <w:rFonts w:hint="eastAsia"/>
        </w:rPr>
        <w:t>见表A</w:t>
      </w:r>
      <w:r>
        <w:t>.1</w:t>
      </w:r>
      <w:r>
        <w:rPr>
          <w:rFonts w:hint="eastAsia"/>
        </w:rPr>
        <w:t>。</w:t>
      </w:r>
      <w:bookmarkEnd w:id="175"/>
    </w:p>
    <w:p w14:paraId="6CDA5FBD">
      <w:pPr>
        <w:pStyle w:val="116"/>
        <w:numPr>
          <w:ilvl w:val="0"/>
          <w:numId w:val="0"/>
        </w:numPr>
        <w:spacing w:before="120" w:after="120"/>
      </w:pPr>
      <w:r>
        <w:rPr>
          <w:rFonts w:hint="eastAsia"/>
        </w:rPr>
        <w:t>表A</w:t>
      </w:r>
      <w:r>
        <w:t xml:space="preserve">.1 </w:t>
      </w:r>
      <w:r>
        <w:rPr>
          <w:rFonts w:hint="eastAsia"/>
        </w:rPr>
        <w:t>情景简表（示例）</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2109"/>
        <w:gridCol w:w="1372"/>
        <w:gridCol w:w="3168"/>
      </w:tblGrid>
      <w:tr w14:paraId="53622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345" w:type="pct"/>
            <w:gridSpan w:val="3"/>
            <w:tcBorders>
              <w:top w:val="single" w:color="auto" w:sz="8" w:space="0"/>
              <w:bottom w:val="single" w:color="auto" w:sz="8" w:space="0"/>
            </w:tcBorders>
            <w:vAlign w:val="center"/>
          </w:tcPr>
          <w:p w14:paraId="1097C1DC">
            <w:pPr>
              <w:autoSpaceDE w:val="0"/>
              <w:autoSpaceDN w:val="0"/>
              <w:jc w:val="left"/>
              <w:rPr>
                <w:rFonts w:hint="eastAsia" w:ascii="宋体" w:hAnsi="宋体"/>
                <w:kern w:val="0"/>
              </w:rPr>
            </w:pPr>
            <w:r>
              <w:rPr>
                <w:rFonts w:hint="eastAsia" w:ascii="宋体" w:hAnsi="宋体"/>
                <w:kern w:val="0"/>
              </w:rPr>
              <w:t>情景名称：</w:t>
            </w:r>
          </w:p>
        </w:tc>
        <w:tc>
          <w:tcPr>
            <w:tcW w:w="1655" w:type="pct"/>
            <w:tcBorders>
              <w:top w:val="single" w:color="auto" w:sz="8" w:space="0"/>
              <w:bottom w:val="single" w:color="auto" w:sz="8" w:space="0"/>
            </w:tcBorders>
            <w:vAlign w:val="center"/>
          </w:tcPr>
          <w:p w14:paraId="28F4D37D">
            <w:pPr>
              <w:autoSpaceDE w:val="0"/>
              <w:autoSpaceDN w:val="0"/>
              <w:jc w:val="left"/>
              <w:rPr>
                <w:rFonts w:hint="eastAsia" w:ascii="宋体" w:hAnsi="宋体"/>
                <w:kern w:val="0"/>
              </w:rPr>
            </w:pPr>
            <w:r>
              <w:rPr>
                <w:rFonts w:hint="eastAsia" w:ascii="宋体" w:hAnsi="宋体"/>
                <w:kern w:val="0"/>
              </w:rPr>
              <w:t>编号：</w:t>
            </w:r>
          </w:p>
        </w:tc>
      </w:tr>
      <w:tr w14:paraId="318976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26" w:type="pct"/>
            <w:tcBorders>
              <w:top w:val="single" w:color="auto" w:sz="8" w:space="0"/>
            </w:tcBorders>
            <w:vAlign w:val="center"/>
          </w:tcPr>
          <w:p w14:paraId="78C86AC6">
            <w:pPr>
              <w:autoSpaceDE w:val="0"/>
              <w:autoSpaceDN w:val="0"/>
              <w:jc w:val="left"/>
              <w:rPr>
                <w:rFonts w:hint="eastAsia" w:ascii="宋体" w:hAnsi="宋体"/>
                <w:bCs/>
                <w:kern w:val="0"/>
              </w:rPr>
            </w:pPr>
            <w:r>
              <w:rPr>
                <w:rFonts w:hint="eastAsia" w:ascii="宋体" w:hAnsi="宋体"/>
                <w:kern w:val="0"/>
              </w:rPr>
              <w:t>情景描述（时间</w:t>
            </w:r>
            <w:r>
              <w:rPr>
                <w:rFonts w:ascii="宋体" w:hAnsi="宋体"/>
                <w:kern w:val="0"/>
              </w:rPr>
              <w:t>、地点及</w:t>
            </w:r>
            <w:r>
              <w:rPr>
                <w:rFonts w:hint="eastAsia" w:ascii="宋体" w:hAnsi="宋体"/>
                <w:kern w:val="0"/>
              </w:rPr>
              <w:t>突发事件</w:t>
            </w:r>
            <w:r>
              <w:rPr>
                <w:rFonts w:ascii="宋体" w:hAnsi="宋体"/>
                <w:kern w:val="0"/>
              </w:rPr>
              <w:t>类型）</w:t>
            </w:r>
          </w:p>
        </w:tc>
        <w:tc>
          <w:tcPr>
            <w:tcW w:w="3474" w:type="pct"/>
            <w:gridSpan w:val="3"/>
            <w:tcBorders>
              <w:top w:val="single" w:color="auto" w:sz="8" w:space="0"/>
            </w:tcBorders>
            <w:vAlign w:val="center"/>
          </w:tcPr>
          <w:p w14:paraId="3BB5339A">
            <w:pPr>
              <w:autoSpaceDE w:val="0"/>
              <w:autoSpaceDN w:val="0"/>
              <w:jc w:val="left"/>
              <w:rPr>
                <w:rFonts w:hint="eastAsia" w:ascii="宋体" w:hAnsi="宋体"/>
                <w:iCs/>
                <w:kern w:val="0"/>
              </w:rPr>
            </w:pPr>
          </w:p>
        </w:tc>
      </w:tr>
      <w:tr w14:paraId="2DEC10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26" w:type="pct"/>
            <w:vAlign w:val="center"/>
          </w:tcPr>
          <w:p w14:paraId="01971197">
            <w:pPr>
              <w:autoSpaceDE w:val="0"/>
              <w:autoSpaceDN w:val="0"/>
              <w:jc w:val="left"/>
              <w:rPr>
                <w:rFonts w:hint="eastAsia" w:ascii="宋体" w:hAnsi="宋体"/>
                <w:bCs/>
                <w:kern w:val="0"/>
              </w:rPr>
            </w:pPr>
            <w:r>
              <w:rPr>
                <w:rFonts w:hint="eastAsia" w:ascii="宋体" w:hAnsi="宋体"/>
                <w:bCs/>
                <w:kern w:val="0"/>
              </w:rPr>
              <w:t>预计</w:t>
            </w:r>
            <w:r>
              <w:rPr>
                <w:rFonts w:ascii="宋体" w:hAnsi="宋体"/>
                <w:bCs/>
                <w:kern w:val="0"/>
              </w:rPr>
              <w:t>人员伤亡情况</w:t>
            </w:r>
          </w:p>
        </w:tc>
        <w:tc>
          <w:tcPr>
            <w:tcW w:w="3474" w:type="pct"/>
            <w:gridSpan w:val="3"/>
            <w:vAlign w:val="center"/>
          </w:tcPr>
          <w:p w14:paraId="1B8A9112">
            <w:pPr>
              <w:autoSpaceDE w:val="0"/>
              <w:autoSpaceDN w:val="0"/>
              <w:jc w:val="center"/>
              <w:rPr>
                <w:rFonts w:hint="eastAsia" w:ascii="宋体" w:hAnsi="宋体"/>
                <w:kern w:val="0"/>
              </w:rPr>
            </w:pPr>
          </w:p>
        </w:tc>
      </w:tr>
      <w:tr w14:paraId="32BA4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26" w:type="pct"/>
            <w:vAlign w:val="center"/>
          </w:tcPr>
          <w:p w14:paraId="543DC227">
            <w:pPr>
              <w:autoSpaceDE w:val="0"/>
              <w:autoSpaceDN w:val="0"/>
              <w:jc w:val="left"/>
              <w:rPr>
                <w:rFonts w:hint="eastAsia" w:ascii="宋体" w:hAnsi="宋体"/>
                <w:kern w:val="0"/>
              </w:rPr>
            </w:pPr>
            <w:r>
              <w:rPr>
                <w:rFonts w:hint="eastAsia" w:ascii="宋体" w:hAnsi="宋体"/>
                <w:bCs/>
                <w:kern w:val="0"/>
              </w:rPr>
              <w:t>预计</w:t>
            </w:r>
            <w:r>
              <w:rPr>
                <w:rFonts w:ascii="宋体" w:hAnsi="宋体"/>
                <w:bCs/>
                <w:kern w:val="0"/>
              </w:rPr>
              <w:t>基础设施损害</w:t>
            </w:r>
          </w:p>
        </w:tc>
        <w:tc>
          <w:tcPr>
            <w:tcW w:w="3474" w:type="pct"/>
            <w:gridSpan w:val="3"/>
            <w:vAlign w:val="center"/>
          </w:tcPr>
          <w:p w14:paraId="604E30FD">
            <w:pPr>
              <w:autoSpaceDE w:val="0"/>
              <w:autoSpaceDN w:val="0"/>
              <w:jc w:val="center"/>
              <w:rPr>
                <w:rFonts w:hint="eastAsia" w:ascii="宋体" w:hAnsi="宋体"/>
                <w:kern w:val="0"/>
              </w:rPr>
            </w:pPr>
          </w:p>
        </w:tc>
      </w:tr>
      <w:tr w14:paraId="5C3CD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26" w:type="pct"/>
            <w:vAlign w:val="center"/>
          </w:tcPr>
          <w:p w14:paraId="2E79A63D">
            <w:pPr>
              <w:autoSpaceDE w:val="0"/>
              <w:autoSpaceDN w:val="0"/>
              <w:jc w:val="left"/>
              <w:rPr>
                <w:rFonts w:hint="eastAsia" w:ascii="宋体" w:hAnsi="宋体"/>
                <w:kern w:val="0"/>
              </w:rPr>
            </w:pPr>
            <w:r>
              <w:rPr>
                <w:rFonts w:hint="eastAsia" w:ascii="宋体" w:hAnsi="宋体"/>
                <w:bCs/>
                <w:kern w:val="0"/>
              </w:rPr>
              <w:t>预计</w:t>
            </w:r>
            <w:r>
              <w:rPr>
                <w:rFonts w:ascii="宋体" w:hAnsi="宋体"/>
                <w:bCs/>
                <w:kern w:val="0"/>
              </w:rPr>
              <w:t>疏散/迁移人口</w:t>
            </w:r>
          </w:p>
        </w:tc>
        <w:tc>
          <w:tcPr>
            <w:tcW w:w="3474" w:type="pct"/>
            <w:gridSpan w:val="3"/>
            <w:vAlign w:val="center"/>
          </w:tcPr>
          <w:p w14:paraId="0BEB482E">
            <w:pPr>
              <w:autoSpaceDE w:val="0"/>
              <w:autoSpaceDN w:val="0"/>
              <w:jc w:val="center"/>
              <w:rPr>
                <w:rFonts w:hint="eastAsia" w:ascii="宋体" w:hAnsi="宋体"/>
                <w:kern w:val="0"/>
              </w:rPr>
            </w:pPr>
          </w:p>
        </w:tc>
      </w:tr>
      <w:tr w14:paraId="34F67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26" w:type="pct"/>
            <w:vAlign w:val="center"/>
          </w:tcPr>
          <w:p w14:paraId="24A82074">
            <w:pPr>
              <w:autoSpaceDE w:val="0"/>
              <w:autoSpaceDN w:val="0"/>
              <w:jc w:val="left"/>
              <w:rPr>
                <w:rFonts w:hint="eastAsia" w:ascii="宋体" w:hAnsi="宋体"/>
                <w:kern w:val="0"/>
              </w:rPr>
            </w:pPr>
            <w:r>
              <w:rPr>
                <w:rFonts w:hint="eastAsia" w:ascii="宋体" w:hAnsi="宋体"/>
                <w:bCs/>
                <w:kern w:val="0"/>
              </w:rPr>
              <w:t>预计</w:t>
            </w:r>
            <w:r>
              <w:rPr>
                <w:rFonts w:ascii="宋体" w:hAnsi="宋体"/>
                <w:bCs/>
                <w:kern w:val="0"/>
              </w:rPr>
              <w:t>污染情况</w:t>
            </w:r>
          </w:p>
        </w:tc>
        <w:tc>
          <w:tcPr>
            <w:tcW w:w="3474" w:type="pct"/>
            <w:gridSpan w:val="3"/>
            <w:vAlign w:val="center"/>
          </w:tcPr>
          <w:p w14:paraId="60F1BD42">
            <w:pPr>
              <w:autoSpaceDE w:val="0"/>
              <w:autoSpaceDN w:val="0"/>
              <w:jc w:val="center"/>
              <w:rPr>
                <w:rFonts w:hint="eastAsia" w:ascii="宋体" w:hAnsi="宋体"/>
                <w:kern w:val="0"/>
              </w:rPr>
            </w:pPr>
          </w:p>
        </w:tc>
      </w:tr>
      <w:tr w14:paraId="7C91F6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26" w:type="pct"/>
            <w:vAlign w:val="center"/>
          </w:tcPr>
          <w:p w14:paraId="6DA1FCC6">
            <w:pPr>
              <w:autoSpaceDE w:val="0"/>
              <w:autoSpaceDN w:val="0"/>
              <w:jc w:val="left"/>
              <w:rPr>
                <w:rFonts w:hint="eastAsia" w:ascii="宋体" w:hAnsi="宋体"/>
                <w:kern w:val="0"/>
              </w:rPr>
            </w:pPr>
            <w:r>
              <w:rPr>
                <w:rFonts w:hint="eastAsia" w:ascii="宋体" w:hAnsi="宋体"/>
                <w:bCs/>
                <w:kern w:val="0"/>
              </w:rPr>
              <w:t>预计</w:t>
            </w:r>
            <w:r>
              <w:rPr>
                <w:rFonts w:ascii="宋体" w:hAnsi="宋体"/>
                <w:bCs/>
                <w:kern w:val="0"/>
              </w:rPr>
              <w:t>经济损失</w:t>
            </w:r>
          </w:p>
        </w:tc>
        <w:tc>
          <w:tcPr>
            <w:tcW w:w="3474" w:type="pct"/>
            <w:gridSpan w:val="3"/>
            <w:vAlign w:val="center"/>
          </w:tcPr>
          <w:p w14:paraId="7A6B2C5D">
            <w:pPr>
              <w:autoSpaceDE w:val="0"/>
              <w:autoSpaceDN w:val="0"/>
              <w:jc w:val="center"/>
              <w:rPr>
                <w:rFonts w:hint="eastAsia" w:ascii="宋体" w:hAnsi="宋体"/>
                <w:kern w:val="0"/>
              </w:rPr>
            </w:pPr>
          </w:p>
        </w:tc>
      </w:tr>
      <w:tr w14:paraId="5EF0A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26" w:type="pct"/>
            <w:vAlign w:val="center"/>
          </w:tcPr>
          <w:p w14:paraId="06A9888E">
            <w:pPr>
              <w:autoSpaceDE w:val="0"/>
              <w:autoSpaceDN w:val="0"/>
              <w:jc w:val="left"/>
              <w:rPr>
                <w:rFonts w:hint="eastAsia" w:ascii="宋体" w:hAnsi="宋体"/>
                <w:kern w:val="0"/>
              </w:rPr>
            </w:pPr>
            <w:r>
              <w:rPr>
                <w:rFonts w:hint="eastAsia" w:ascii="宋体" w:hAnsi="宋体"/>
                <w:bCs/>
                <w:kern w:val="0"/>
              </w:rPr>
              <w:t>预计</w:t>
            </w:r>
            <w:r>
              <w:rPr>
                <w:rFonts w:hint="eastAsia" w:ascii="宋体" w:hAnsi="宋体"/>
                <w:kern w:val="0"/>
              </w:rPr>
              <w:t>次生衍生灾害</w:t>
            </w:r>
          </w:p>
        </w:tc>
        <w:tc>
          <w:tcPr>
            <w:tcW w:w="3474" w:type="pct"/>
            <w:gridSpan w:val="3"/>
            <w:vAlign w:val="center"/>
          </w:tcPr>
          <w:p w14:paraId="30E86828">
            <w:pPr>
              <w:autoSpaceDE w:val="0"/>
              <w:autoSpaceDN w:val="0"/>
              <w:jc w:val="center"/>
              <w:rPr>
                <w:rFonts w:hint="eastAsia" w:ascii="宋体" w:hAnsi="宋体"/>
                <w:kern w:val="0"/>
              </w:rPr>
            </w:pPr>
          </w:p>
        </w:tc>
      </w:tr>
      <w:tr w14:paraId="3AA1D3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26" w:type="pct"/>
            <w:vAlign w:val="center"/>
          </w:tcPr>
          <w:p w14:paraId="51114500">
            <w:pPr>
              <w:autoSpaceDE w:val="0"/>
              <w:autoSpaceDN w:val="0"/>
              <w:jc w:val="left"/>
              <w:rPr>
                <w:rFonts w:hint="eastAsia" w:ascii="宋体" w:hAnsi="宋体"/>
                <w:kern w:val="0"/>
              </w:rPr>
            </w:pPr>
            <w:r>
              <w:rPr>
                <w:rFonts w:hint="eastAsia" w:ascii="宋体" w:hAnsi="宋体"/>
                <w:bCs/>
                <w:kern w:val="0"/>
              </w:rPr>
              <w:t>预计</w:t>
            </w:r>
            <w:r>
              <w:rPr>
                <w:rFonts w:ascii="宋体" w:hAnsi="宋体"/>
                <w:bCs/>
                <w:kern w:val="0"/>
              </w:rPr>
              <w:t>恢复期限</w:t>
            </w:r>
          </w:p>
        </w:tc>
        <w:tc>
          <w:tcPr>
            <w:tcW w:w="3474" w:type="pct"/>
            <w:gridSpan w:val="3"/>
            <w:vAlign w:val="center"/>
          </w:tcPr>
          <w:p w14:paraId="1E90F8B4">
            <w:pPr>
              <w:autoSpaceDE w:val="0"/>
              <w:autoSpaceDN w:val="0"/>
              <w:jc w:val="center"/>
              <w:rPr>
                <w:rFonts w:hint="eastAsia" w:ascii="宋体" w:hAnsi="宋体"/>
                <w:kern w:val="0"/>
              </w:rPr>
            </w:pPr>
          </w:p>
        </w:tc>
      </w:tr>
      <w:tr w14:paraId="1BBC2C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26" w:type="pct"/>
            <w:vAlign w:val="center"/>
          </w:tcPr>
          <w:p w14:paraId="6D493074">
            <w:pPr>
              <w:autoSpaceDE w:val="0"/>
              <w:autoSpaceDN w:val="0"/>
              <w:jc w:val="left"/>
              <w:rPr>
                <w:rFonts w:hint="eastAsia" w:ascii="宋体" w:hAnsi="宋体"/>
                <w:bCs/>
                <w:kern w:val="0"/>
              </w:rPr>
            </w:pPr>
            <w:r>
              <w:rPr>
                <w:rFonts w:hint="eastAsia" w:ascii="宋体" w:hAnsi="宋体"/>
                <w:bCs/>
                <w:kern w:val="0"/>
              </w:rPr>
              <w:t>国内外参考事件：</w:t>
            </w:r>
          </w:p>
        </w:tc>
        <w:tc>
          <w:tcPr>
            <w:tcW w:w="3474" w:type="pct"/>
            <w:gridSpan w:val="3"/>
            <w:vAlign w:val="center"/>
          </w:tcPr>
          <w:p w14:paraId="2BD4BF50">
            <w:pPr>
              <w:autoSpaceDE w:val="0"/>
              <w:autoSpaceDN w:val="0"/>
              <w:jc w:val="center"/>
              <w:rPr>
                <w:rFonts w:hint="eastAsia" w:ascii="宋体" w:hAnsi="宋体"/>
                <w:kern w:val="0"/>
              </w:rPr>
            </w:pPr>
          </w:p>
        </w:tc>
      </w:tr>
      <w:tr w14:paraId="306C11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628" w:type="pct"/>
            <w:gridSpan w:val="2"/>
            <w:vAlign w:val="center"/>
          </w:tcPr>
          <w:p w14:paraId="1D067B9D">
            <w:pPr>
              <w:autoSpaceDE w:val="0"/>
              <w:autoSpaceDN w:val="0"/>
              <w:rPr>
                <w:rFonts w:hint="eastAsia" w:ascii="宋体" w:hAnsi="宋体"/>
                <w:kern w:val="0"/>
              </w:rPr>
            </w:pPr>
            <w:r>
              <w:rPr>
                <w:rFonts w:hint="eastAsia" w:ascii="宋体" w:hAnsi="宋体"/>
                <w:kern w:val="0"/>
              </w:rPr>
              <w:t>构建组织：</w:t>
            </w:r>
          </w:p>
        </w:tc>
        <w:tc>
          <w:tcPr>
            <w:tcW w:w="2372" w:type="pct"/>
            <w:gridSpan w:val="2"/>
            <w:vAlign w:val="center"/>
          </w:tcPr>
          <w:p w14:paraId="1CC0EDB6">
            <w:pPr>
              <w:autoSpaceDE w:val="0"/>
              <w:autoSpaceDN w:val="0"/>
              <w:rPr>
                <w:rFonts w:hint="eastAsia" w:ascii="宋体" w:hAnsi="宋体"/>
                <w:kern w:val="0"/>
              </w:rPr>
            </w:pPr>
            <w:r>
              <w:rPr>
                <w:rFonts w:hint="eastAsia" w:ascii="宋体" w:hAnsi="宋体"/>
                <w:kern w:val="0"/>
              </w:rPr>
              <w:t>相关组织：</w:t>
            </w:r>
          </w:p>
        </w:tc>
      </w:tr>
      <w:tr w14:paraId="64D5C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628" w:type="pct"/>
            <w:gridSpan w:val="2"/>
            <w:vAlign w:val="center"/>
          </w:tcPr>
          <w:p w14:paraId="3CD5C59B">
            <w:pPr>
              <w:autoSpaceDE w:val="0"/>
              <w:autoSpaceDN w:val="0"/>
              <w:rPr>
                <w:rFonts w:hint="eastAsia" w:ascii="宋体" w:hAnsi="宋体"/>
                <w:kern w:val="0"/>
              </w:rPr>
            </w:pPr>
            <w:r>
              <w:rPr>
                <w:rFonts w:hint="eastAsia" w:ascii="宋体" w:hAnsi="宋体"/>
                <w:kern w:val="0"/>
              </w:rPr>
              <w:t>公开范围：</w:t>
            </w:r>
          </w:p>
        </w:tc>
        <w:tc>
          <w:tcPr>
            <w:tcW w:w="2372" w:type="pct"/>
            <w:gridSpan w:val="2"/>
            <w:vAlign w:val="center"/>
          </w:tcPr>
          <w:p w14:paraId="700AAE83">
            <w:pPr>
              <w:autoSpaceDE w:val="0"/>
              <w:autoSpaceDN w:val="0"/>
              <w:rPr>
                <w:rFonts w:hint="eastAsia" w:ascii="宋体" w:hAnsi="宋体"/>
                <w:kern w:val="0"/>
              </w:rPr>
            </w:pPr>
            <w:r>
              <w:rPr>
                <w:rFonts w:hint="eastAsia" w:ascii="宋体" w:hAnsi="宋体"/>
                <w:kern w:val="0"/>
              </w:rPr>
              <w:t>构建时间：</w:t>
            </w:r>
          </w:p>
        </w:tc>
      </w:tr>
    </w:tbl>
    <w:p w14:paraId="77D8FA1D">
      <w:pPr>
        <w:pStyle w:val="60"/>
        <w:ind w:firstLine="420"/>
      </w:pPr>
    </w:p>
    <w:p w14:paraId="5A002E8F">
      <w:pPr>
        <w:pStyle w:val="60"/>
        <w:ind w:firstLine="420"/>
      </w:pPr>
    </w:p>
    <w:p w14:paraId="73A75FC7">
      <w:pPr>
        <w:pStyle w:val="60"/>
        <w:ind w:firstLine="420"/>
        <w:sectPr>
          <w:pgSz w:w="11906" w:h="16838"/>
          <w:pgMar w:top="567" w:right="1134" w:bottom="1134" w:left="1134" w:header="1418" w:footer="1134" w:gutter="284"/>
          <w:cols w:space="425" w:num="1"/>
          <w:formProt w:val="0"/>
          <w:docGrid w:linePitch="312" w:charSpace="0"/>
        </w:sectPr>
      </w:pPr>
    </w:p>
    <w:p w14:paraId="2B937C6F">
      <w:pPr>
        <w:pStyle w:val="203"/>
        <w:spacing w:before="120" w:after="120"/>
        <w:rPr>
          <w:rFonts w:hint="eastAsia"/>
        </w:rPr>
      </w:pPr>
    </w:p>
    <w:p w14:paraId="5419876A">
      <w:pPr>
        <w:pStyle w:val="204"/>
        <w:spacing w:before="120" w:after="120"/>
      </w:pPr>
    </w:p>
    <w:p w14:paraId="726CC638">
      <w:pPr>
        <w:pStyle w:val="80"/>
        <w:spacing w:before="60" w:beforeLines="25" w:after="120"/>
      </w:pPr>
      <w:r>
        <w:br w:type="textWrapping"/>
      </w:r>
      <w:bookmarkStart w:id="176" w:name="_Toc173425665"/>
      <w:bookmarkStart w:id="177" w:name="_Toc175560216"/>
      <w:bookmarkStart w:id="178" w:name="_Toc171004983"/>
      <w:bookmarkStart w:id="179" w:name="_Toc175560306"/>
      <w:bookmarkStart w:id="180" w:name="_Toc64721876"/>
      <w:bookmarkStart w:id="181" w:name="_Toc64712940"/>
      <w:bookmarkStart w:id="182" w:name="_Toc64712974"/>
      <w:r>
        <w:rPr>
          <w:rFonts w:hint="eastAsia"/>
        </w:rPr>
        <w:t>（资料性）</w:t>
      </w:r>
      <w:r>
        <w:br w:type="textWrapping"/>
      </w:r>
      <w:r>
        <w:rPr>
          <w:rFonts w:hint="eastAsia"/>
        </w:rPr>
        <w:t>情景模拟方法</w:t>
      </w:r>
      <w:bookmarkEnd w:id="176"/>
      <w:bookmarkEnd w:id="177"/>
      <w:bookmarkEnd w:id="178"/>
      <w:bookmarkEnd w:id="179"/>
      <w:bookmarkEnd w:id="180"/>
      <w:bookmarkEnd w:id="181"/>
      <w:bookmarkEnd w:id="182"/>
    </w:p>
    <w:p w14:paraId="51FD54F1">
      <w:pPr>
        <w:pStyle w:val="82"/>
        <w:spacing w:before="120" w:after="120"/>
        <w:ind w:firstLine="420"/>
      </w:pPr>
      <w:bookmarkStart w:id="183" w:name="_Toc64712941"/>
      <w:bookmarkStart w:id="184" w:name="_Toc64721877"/>
      <w:bookmarkStart w:id="185" w:name="_Toc64712975"/>
      <w:bookmarkStart w:id="186" w:name="_Toc171004984"/>
      <w:r>
        <w:rPr>
          <w:rFonts w:hint="eastAsia"/>
        </w:rPr>
        <w:t>历史案例资料分析</w:t>
      </w:r>
      <w:bookmarkEnd w:id="183"/>
      <w:bookmarkEnd w:id="184"/>
      <w:bookmarkEnd w:id="185"/>
      <w:bookmarkEnd w:id="186"/>
    </w:p>
    <w:p w14:paraId="7EB09277">
      <w:pPr>
        <w:spacing w:line="240" w:lineRule="auto"/>
        <w:ind w:firstLine="420" w:firstLineChars="200"/>
      </w:pPr>
      <w:r>
        <w:rPr>
          <w:rFonts w:hint="eastAsia"/>
        </w:rPr>
        <w:t>国内外相似的案例资料，是进行情景模拟的重要参考。通常可采用以下方法：</w:t>
      </w:r>
    </w:p>
    <w:p w14:paraId="56EFD52B">
      <w:pPr>
        <w:pStyle w:val="179"/>
        <w:numPr>
          <w:ilvl w:val="0"/>
          <w:numId w:val="37"/>
        </w:numPr>
      </w:pPr>
      <w:r>
        <w:rPr>
          <w:rFonts w:hint="eastAsia"/>
        </w:rPr>
        <w:t>使用多次同类案例事件后果的统计数据；</w:t>
      </w:r>
    </w:p>
    <w:p w14:paraId="49D1A8DD">
      <w:pPr>
        <w:pStyle w:val="179"/>
      </w:pPr>
      <w:r>
        <w:rPr>
          <w:rFonts w:hint="eastAsia"/>
        </w:rPr>
        <w:t>使用相似案例的后果数据，并根据环境条件的变化进行修正；</w:t>
      </w:r>
    </w:p>
    <w:p w14:paraId="0B4802C0">
      <w:pPr>
        <w:pStyle w:val="179"/>
      </w:pPr>
      <w:r>
        <w:rPr>
          <w:rFonts w:hint="eastAsia"/>
        </w:rPr>
        <w:t>使用不同类别的案例后果数据，同时根据事件强度、环境条件的变化进行类推。</w:t>
      </w:r>
    </w:p>
    <w:p w14:paraId="649E38C5">
      <w:pPr>
        <w:pStyle w:val="82"/>
        <w:spacing w:before="120" w:after="120"/>
        <w:ind w:firstLine="420"/>
      </w:pPr>
      <w:bookmarkStart w:id="187" w:name="_Toc64712976"/>
      <w:bookmarkStart w:id="188" w:name="_Toc171004985"/>
      <w:bookmarkStart w:id="189" w:name="_Toc64712942"/>
      <w:bookmarkStart w:id="190" w:name="_Toc64721878"/>
      <w:r>
        <w:rPr>
          <w:rFonts w:hint="eastAsia"/>
        </w:rPr>
        <w:t>模拟仿真</w:t>
      </w:r>
      <w:bookmarkEnd w:id="187"/>
      <w:bookmarkEnd w:id="188"/>
      <w:bookmarkEnd w:id="189"/>
      <w:bookmarkEnd w:id="190"/>
    </w:p>
    <w:p w14:paraId="24F4C02D">
      <w:pPr>
        <w:spacing w:line="240" w:lineRule="auto"/>
        <w:ind w:firstLine="420" w:firstLineChars="200"/>
      </w:pPr>
      <w:r>
        <w:rPr>
          <w:rFonts w:hint="eastAsia"/>
        </w:rPr>
        <w:t>采用数学建模和计算机模拟技术，对事件演化过程及后果进行估算，尽可能科学、真实地展现出事件的发展规律和危害后果。</w:t>
      </w:r>
    </w:p>
    <w:p w14:paraId="5C7D3352">
      <w:pPr>
        <w:spacing w:line="240" w:lineRule="auto"/>
        <w:ind w:firstLine="420" w:firstLineChars="200"/>
      </w:pPr>
      <w:r>
        <w:rPr>
          <w:rFonts w:hint="eastAsia"/>
        </w:rPr>
        <w:t>选择和正确使用合适的计算机模拟技术工具、收集并准备模拟计算所需的各种数据资料、对模拟计算的结果进行解读和展示等工作需要较深的专业知识，可以委托专业科研机构开展。</w:t>
      </w:r>
    </w:p>
    <w:p w14:paraId="4A26BABD">
      <w:pPr>
        <w:pStyle w:val="82"/>
        <w:spacing w:before="120" w:after="120"/>
        <w:ind w:firstLine="420"/>
      </w:pPr>
      <w:bookmarkStart w:id="191" w:name="_Toc64712943"/>
      <w:bookmarkStart w:id="192" w:name="_Toc64712977"/>
      <w:bookmarkStart w:id="193" w:name="_Toc171004986"/>
      <w:bookmarkStart w:id="194" w:name="_Toc64721879"/>
      <w:r>
        <w:rPr>
          <w:rFonts w:hint="eastAsia"/>
        </w:rPr>
        <w:t>现场调查与模拟试验</w:t>
      </w:r>
      <w:bookmarkEnd w:id="191"/>
      <w:bookmarkEnd w:id="192"/>
      <w:bookmarkEnd w:id="193"/>
      <w:bookmarkEnd w:id="194"/>
    </w:p>
    <w:p w14:paraId="4AD6B85B">
      <w:pPr>
        <w:spacing w:line="240" w:lineRule="auto"/>
        <w:ind w:firstLine="420" w:firstLineChars="200"/>
      </w:pPr>
      <w:r>
        <w:rPr>
          <w:rFonts w:hint="eastAsia"/>
        </w:rPr>
        <w:t>对某些情景进行模拟时，可能缺少相似的历史案例数据或难以进行计算机模拟计算，需要对估算的结果进行验证时，可采取现场调查、物理模拟试验等方法，对事件可能产生的负面效果进行调查和试验。</w:t>
      </w:r>
    </w:p>
    <w:p w14:paraId="2A6B50C7">
      <w:pPr>
        <w:pStyle w:val="82"/>
        <w:spacing w:before="120" w:after="120"/>
        <w:ind w:firstLine="420"/>
      </w:pPr>
      <w:bookmarkStart w:id="195" w:name="_Toc64721880"/>
      <w:bookmarkStart w:id="196" w:name="_Toc64712978"/>
      <w:bookmarkStart w:id="197" w:name="_Toc64712944"/>
      <w:bookmarkStart w:id="198" w:name="_Toc171004987"/>
      <w:r>
        <w:rPr>
          <w:rFonts w:hint="eastAsia"/>
        </w:rPr>
        <w:t>专家经验与推理</w:t>
      </w:r>
      <w:bookmarkEnd w:id="195"/>
      <w:bookmarkEnd w:id="196"/>
      <w:bookmarkEnd w:id="197"/>
      <w:bookmarkEnd w:id="198"/>
    </w:p>
    <w:p w14:paraId="7206B456">
      <w:pPr>
        <w:pStyle w:val="60"/>
        <w:ind w:firstLine="420"/>
      </w:pPr>
      <w:r>
        <w:rPr>
          <w:rFonts w:hint="eastAsia"/>
        </w:rPr>
        <w:t>对于发生频率很低或无统计规律的情景，通常可以收集国内外类似事件的典型案例资料，由相关领域专家对事件的演化过程和危害后果进行推理判断。</w:t>
      </w:r>
    </w:p>
    <w:p w14:paraId="79747959">
      <w:pPr>
        <w:pStyle w:val="60"/>
        <w:ind w:firstLine="0" w:firstLineChars="0"/>
        <w:sectPr>
          <w:headerReference r:id="rId15" w:type="default"/>
          <w:headerReference r:id="rId16" w:type="even"/>
          <w:footerReference r:id="rId17" w:type="even"/>
          <w:pgSz w:w="11906" w:h="16838"/>
          <w:pgMar w:top="567" w:right="1134" w:bottom="1134" w:left="1134" w:header="1418" w:footer="1134" w:gutter="284"/>
          <w:cols w:space="425" w:num="1"/>
          <w:formProt w:val="0"/>
          <w:docGrid w:linePitch="312" w:charSpace="0"/>
        </w:sectPr>
      </w:pPr>
    </w:p>
    <w:p w14:paraId="10C65918">
      <w:pPr>
        <w:pStyle w:val="203"/>
        <w:spacing w:before="156" w:after="156"/>
        <w:rPr>
          <w:rFonts w:hint="eastAsia"/>
        </w:rPr>
      </w:pPr>
    </w:p>
    <w:p w14:paraId="2454A2EB">
      <w:pPr>
        <w:pStyle w:val="204"/>
        <w:spacing w:before="156" w:after="156"/>
      </w:pPr>
    </w:p>
    <w:p w14:paraId="5DFAE9DC">
      <w:pPr>
        <w:pStyle w:val="80"/>
        <w:spacing w:before="78" w:beforeLines="25" w:after="156"/>
      </w:pPr>
      <w:r>
        <w:br w:type="textWrapping"/>
      </w:r>
      <w:bookmarkStart w:id="199" w:name="_Toc64712945"/>
      <w:bookmarkStart w:id="200" w:name="_Toc173425666"/>
      <w:bookmarkStart w:id="201" w:name="_Toc64721881"/>
      <w:bookmarkStart w:id="202" w:name="_Toc171004988"/>
      <w:bookmarkStart w:id="203" w:name="_Toc175560217"/>
      <w:bookmarkStart w:id="204" w:name="_Toc175560307"/>
      <w:bookmarkStart w:id="205" w:name="_Toc64712979"/>
      <w:r>
        <w:rPr>
          <w:rFonts w:hint="eastAsia"/>
        </w:rPr>
        <w:t>（资料性）</w:t>
      </w:r>
      <w:r>
        <w:br w:type="textWrapping"/>
      </w:r>
      <w:bookmarkStart w:id="206" w:name="_Hlk140487135"/>
      <w:r>
        <w:rPr>
          <w:rFonts w:hint="eastAsia"/>
        </w:rPr>
        <w:t>应急能力评估与规划表</w:t>
      </w:r>
      <w:bookmarkEnd w:id="206"/>
      <w:r>
        <w:rPr>
          <w:rFonts w:hint="eastAsia"/>
        </w:rPr>
        <w:t>（示例）</w:t>
      </w:r>
      <w:bookmarkEnd w:id="199"/>
      <w:bookmarkEnd w:id="200"/>
      <w:bookmarkEnd w:id="201"/>
      <w:bookmarkEnd w:id="202"/>
      <w:bookmarkEnd w:id="203"/>
      <w:bookmarkEnd w:id="204"/>
      <w:bookmarkEnd w:id="205"/>
    </w:p>
    <w:p w14:paraId="7DEA8A9D">
      <w:pPr>
        <w:pStyle w:val="60"/>
        <w:ind w:firstLine="420"/>
      </w:pPr>
      <w:r>
        <w:rPr>
          <w:rFonts w:hint="eastAsia"/>
        </w:rPr>
        <w:t>应急能力评估与规划表（示例）见表</w:t>
      </w:r>
      <w:r>
        <w:t>C.1</w:t>
      </w:r>
      <w:r>
        <w:rPr>
          <w:rFonts w:hint="eastAsia"/>
        </w:rPr>
        <w:t>。</w:t>
      </w:r>
    </w:p>
    <w:p w14:paraId="29D4A63E">
      <w:pPr>
        <w:pStyle w:val="60"/>
        <w:ind w:firstLine="420"/>
      </w:pPr>
    </w:p>
    <w:p w14:paraId="5DFA6014">
      <w:pPr>
        <w:pStyle w:val="116"/>
        <w:numPr>
          <w:ilvl w:val="0"/>
          <w:numId w:val="0"/>
        </w:numPr>
        <w:spacing w:before="156" w:after="156"/>
      </w:pPr>
      <w:r>
        <w:rPr>
          <w:rFonts w:hint="eastAsia"/>
        </w:rPr>
        <w:t>表C</w:t>
      </w:r>
      <w:r>
        <w:t xml:space="preserve">.1 </w:t>
      </w:r>
      <w:r>
        <w:rPr>
          <w:rFonts w:hint="eastAsia"/>
        </w:rPr>
        <w:t>应急能力评估与规划表（示例）</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921"/>
        <w:gridCol w:w="1328"/>
        <w:gridCol w:w="1248"/>
        <w:gridCol w:w="1455"/>
        <w:gridCol w:w="1583"/>
        <w:gridCol w:w="1878"/>
      </w:tblGrid>
      <w:tr w14:paraId="0CBD9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gridSpan w:val="2"/>
            <w:vMerge w:val="restart"/>
            <w:tcBorders>
              <w:top w:val="single" w:color="auto" w:sz="8" w:space="0"/>
              <w:bottom w:val="single" w:color="auto" w:sz="8" w:space="0"/>
            </w:tcBorders>
            <w:vAlign w:val="center"/>
          </w:tcPr>
          <w:p w14:paraId="6944CB03">
            <w:pPr>
              <w:autoSpaceDE w:val="0"/>
              <w:autoSpaceDN w:val="0"/>
              <w:jc w:val="center"/>
              <w:rPr>
                <w:rFonts w:hint="eastAsia" w:ascii="宋体" w:hAnsi="宋体"/>
                <w:b/>
                <w:kern w:val="0"/>
              </w:rPr>
            </w:pPr>
            <w:r>
              <w:rPr>
                <w:rFonts w:hint="eastAsia" w:ascii="宋体" w:hAnsi="宋体"/>
                <w:b/>
                <w:kern w:val="0"/>
              </w:rPr>
              <w:t>应急能力要素</w:t>
            </w:r>
          </w:p>
        </w:tc>
        <w:tc>
          <w:tcPr>
            <w:tcW w:w="2106" w:type="pct"/>
            <w:gridSpan w:val="3"/>
            <w:tcBorders>
              <w:top w:val="single" w:color="auto" w:sz="8" w:space="0"/>
              <w:bottom w:val="single" w:color="auto" w:sz="2" w:space="0"/>
            </w:tcBorders>
            <w:vAlign w:val="center"/>
          </w:tcPr>
          <w:p w14:paraId="0F2D1393">
            <w:pPr>
              <w:autoSpaceDE w:val="0"/>
              <w:autoSpaceDN w:val="0"/>
              <w:jc w:val="center"/>
              <w:rPr>
                <w:rFonts w:hint="eastAsia" w:ascii="宋体" w:hAnsi="宋体"/>
                <w:b/>
                <w:kern w:val="0"/>
                <w:sz w:val="22"/>
              </w:rPr>
            </w:pPr>
            <w:r>
              <w:rPr>
                <w:rFonts w:hint="eastAsia" w:ascii="宋体" w:hAnsi="宋体"/>
                <w:b/>
                <w:kern w:val="0"/>
                <w:sz w:val="22"/>
              </w:rPr>
              <w:t>需求情况</w:t>
            </w:r>
          </w:p>
        </w:tc>
        <w:tc>
          <w:tcPr>
            <w:tcW w:w="827" w:type="pct"/>
            <w:vMerge w:val="restart"/>
            <w:tcBorders>
              <w:top w:val="single" w:color="auto" w:sz="8" w:space="0"/>
              <w:bottom w:val="single" w:color="auto" w:sz="8" w:space="0"/>
            </w:tcBorders>
            <w:vAlign w:val="center"/>
          </w:tcPr>
          <w:p w14:paraId="4F54ADF1">
            <w:pPr>
              <w:autoSpaceDE w:val="0"/>
              <w:autoSpaceDN w:val="0"/>
              <w:jc w:val="center"/>
              <w:rPr>
                <w:rFonts w:hint="eastAsia" w:ascii="宋体" w:hAnsi="宋体"/>
                <w:b/>
                <w:kern w:val="0"/>
                <w:sz w:val="22"/>
              </w:rPr>
            </w:pPr>
            <w:r>
              <w:rPr>
                <w:rFonts w:hint="eastAsia" w:ascii="宋体" w:hAnsi="宋体"/>
                <w:b/>
                <w:kern w:val="0"/>
                <w:sz w:val="22"/>
              </w:rPr>
              <w:t>现状情况</w:t>
            </w:r>
          </w:p>
        </w:tc>
        <w:tc>
          <w:tcPr>
            <w:tcW w:w="982" w:type="pct"/>
            <w:vMerge w:val="restart"/>
            <w:tcBorders>
              <w:top w:val="single" w:color="auto" w:sz="8" w:space="0"/>
              <w:bottom w:val="single" w:color="auto" w:sz="8" w:space="0"/>
            </w:tcBorders>
            <w:vAlign w:val="center"/>
          </w:tcPr>
          <w:p w14:paraId="7EA1D196">
            <w:pPr>
              <w:rPr>
                <w:rFonts w:hint="eastAsia" w:ascii="宋体" w:hAnsi="宋体"/>
                <w:b/>
                <w:kern w:val="0"/>
                <w:sz w:val="22"/>
              </w:rPr>
            </w:pPr>
            <w:r>
              <w:rPr>
                <w:rFonts w:hint="eastAsia" w:ascii="宋体" w:hAnsi="宋体"/>
                <w:b/>
                <w:kern w:val="0"/>
                <w:sz w:val="22"/>
              </w:rPr>
              <w:t>对策措施</w:t>
            </w:r>
          </w:p>
          <w:p w14:paraId="20F25BEF">
            <w:pPr>
              <w:rPr>
                <w:rFonts w:hint="eastAsia" w:ascii="宋体" w:hAnsi="宋体"/>
                <w:b/>
                <w:kern w:val="0"/>
                <w:sz w:val="22"/>
              </w:rPr>
            </w:pPr>
            <w:r>
              <w:rPr>
                <w:rFonts w:hint="eastAsia" w:ascii="宋体" w:hAnsi="宋体"/>
                <w:b/>
                <w:kern w:val="0"/>
                <w:sz w:val="22"/>
              </w:rPr>
              <w:t>（含措施、责任部门、完成时限）</w:t>
            </w:r>
          </w:p>
        </w:tc>
      </w:tr>
      <w:tr w14:paraId="2590A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gridSpan w:val="2"/>
            <w:vMerge w:val="continue"/>
            <w:tcBorders>
              <w:top w:val="single" w:color="auto" w:sz="8" w:space="0"/>
              <w:bottom w:val="single" w:color="auto" w:sz="8" w:space="0"/>
            </w:tcBorders>
            <w:vAlign w:val="center"/>
          </w:tcPr>
          <w:p w14:paraId="615B308A">
            <w:pPr>
              <w:autoSpaceDE w:val="0"/>
              <w:autoSpaceDN w:val="0"/>
              <w:jc w:val="left"/>
              <w:rPr>
                <w:rFonts w:hint="eastAsia" w:ascii="宋体" w:hAnsi="宋体"/>
                <w:kern w:val="0"/>
              </w:rPr>
            </w:pPr>
          </w:p>
        </w:tc>
        <w:tc>
          <w:tcPr>
            <w:tcW w:w="694" w:type="pct"/>
            <w:tcBorders>
              <w:top w:val="single" w:color="auto" w:sz="2" w:space="0"/>
              <w:bottom w:val="single" w:color="auto" w:sz="8" w:space="0"/>
            </w:tcBorders>
            <w:vAlign w:val="center"/>
          </w:tcPr>
          <w:p w14:paraId="0261F607">
            <w:pPr>
              <w:autoSpaceDE w:val="0"/>
              <w:autoSpaceDN w:val="0"/>
              <w:jc w:val="center"/>
              <w:rPr>
                <w:rFonts w:hint="eastAsia" w:ascii="宋体" w:hAnsi="宋体"/>
                <w:kern w:val="0"/>
              </w:rPr>
            </w:pPr>
            <w:r>
              <w:rPr>
                <w:rFonts w:hint="eastAsia" w:ascii="宋体" w:hAnsi="宋体"/>
                <w:kern w:val="0"/>
              </w:rPr>
              <w:t>情景1</w:t>
            </w:r>
          </w:p>
        </w:tc>
        <w:tc>
          <w:tcPr>
            <w:tcW w:w="652" w:type="pct"/>
            <w:tcBorders>
              <w:top w:val="single" w:color="auto" w:sz="2" w:space="0"/>
              <w:bottom w:val="single" w:color="auto" w:sz="8" w:space="0"/>
            </w:tcBorders>
            <w:vAlign w:val="center"/>
          </w:tcPr>
          <w:p w14:paraId="0328207F">
            <w:pPr>
              <w:autoSpaceDE w:val="0"/>
              <w:autoSpaceDN w:val="0"/>
              <w:jc w:val="center"/>
              <w:rPr>
                <w:rFonts w:hint="eastAsia" w:ascii="宋体" w:hAnsi="宋体"/>
                <w:kern w:val="0"/>
              </w:rPr>
            </w:pPr>
            <w:r>
              <w:rPr>
                <w:rFonts w:hint="eastAsia" w:ascii="宋体" w:hAnsi="宋体"/>
                <w:kern w:val="0"/>
              </w:rPr>
              <w:t>……</w:t>
            </w:r>
          </w:p>
        </w:tc>
        <w:tc>
          <w:tcPr>
            <w:tcW w:w="760" w:type="pct"/>
            <w:tcBorders>
              <w:top w:val="single" w:color="auto" w:sz="2" w:space="0"/>
              <w:bottom w:val="single" w:color="auto" w:sz="8" w:space="0"/>
            </w:tcBorders>
            <w:vAlign w:val="center"/>
          </w:tcPr>
          <w:p w14:paraId="35735339">
            <w:pPr>
              <w:autoSpaceDE w:val="0"/>
              <w:autoSpaceDN w:val="0"/>
              <w:jc w:val="center"/>
              <w:rPr>
                <w:rFonts w:hint="eastAsia" w:ascii="宋体" w:hAnsi="宋体"/>
                <w:kern w:val="0"/>
              </w:rPr>
            </w:pPr>
            <w:r>
              <w:rPr>
                <w:rFonts w:hint="eastAsia" w:ascii="宋体" w:hAnsi="宋体"/>
                <w:kern w:val="0"/>
              </w:rPr>
              <w:t>情景n</w:t>
            </w:r>
          </w:p>
        </w:tc>
        <w:tc>
          <w:tcPr>
            <w:tcW w:w="827" w:type="pct"/>
            <w:vMerge w:val="continue"/>
            <w:tcBorders>
              <w:top w:val="single" w:color="auto" w:sz="4" w:space="0"/>
              <w:bottom w:val="single" w:color="auto" w:sz="8" w:space="0"/>
            </w:tcBorders>
            <w:vAlign w:val="center"/>
          </w:tcPr>
          <w:p w14:paraId="244C8D31">
            <w:pPr>
              <w:autoSpaceDE w:val="0"/>
              <w:autoSpaceDN w:val="0"/>
              <w:jc w:val="left"/>
              <w:rPr>
                <w:rFonts w:hint="eastAsia" w:ascii="宋体" w:hAnsi="宋体"/>
                <w:kern w:val="0"/>
              </w:rPr>
            </w:pPr>
          </w:p>
        </w:tc>
        <w:tc>
          <w:tcPr>
            <w:tcW w:w="982" w:type="pct"/>
            <w:vMerge w:val="continue"/>
            <w:tcBorders>
              <w:top w:val="single" w:color="auto" w:sz="4" w:space="0"/>
              <w:bottom w:val="single" w:color="auto" w:sz="8" w:space="0"/>
            </w:tcBorders>
          </w:tcPr>
          <w:p w14:paraId="27D15AAF">
            <w:pPr>
              <w:autoSpaceDE w:val="0"/>
              <w:autoSpaceDN w:val="0"/>
              <w:jc w:val="left"/>
              <w:rPr>
                <w:rFonts w:hint="eastAsia" w:ascii="宋体" w:hAnsi="宋体"/>
                <w:kern w:val="0"/>
              </w:rPr>
            </w:pPr>
          </w:p>
        </w:tc>
      </w:tr>
      <w:tr w14:paraId="547202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086" w:type="pct"/>
            <w:gridSpan w:val="2"/>
            <w:tcBorders>
              <w:top w:val="single" w:color="auto" w:sz="8" w:space="0"/>
            </w:tcBorders>
            <w:vAlign w:val="center"/>
          </w:tcPr>
          <w:p w14:paraId="38C240EE">
            <w:pPr>
              <w:autoSpaceDE w:val="0"/>
              <w:autoSpaceDN w:val="0"/>
              <w:jc w:val="left"/>
              <w:rPr>
                <w:rFonts w:hint="eastAsia" w:ascii="宋体" w:hAnsi="宋体"/>
                <w:kern w:val="0"/>
              </w:rPr>
            </w:pPr>
            <w:r>
              <w:rPr>
                <w:rFonts w:hint="eastAsia" w:ascii="宋体" w:hAnsi="宋体"/>
                <w:kern w:val="0"/>
              </w:rPr>
              <w:t>1）组织架构</w:t>
            </w:r>
          </w:p>
        </w:tc>
        <w:tc>
          <w:tcPr>
            <w:tcW w:w="694" w:type="pct"/>
            <w:tcBorders>
              <w:top w:val="single" w:color="auto" w:sz="8" w:space="0"/>
            </w:tcBorders>
            <w:vAlign w:val="center"/>
          </w:tcPr>
          <w:p w14:paraId="0F41B59E">
            <w:pPr>
              <w:spacing w:line="360" w:lineRule="exact"/>
              <w:rPr>
                <w:rFonts w:hint="eastAsia" w:ascii="宋体" w:hAnsi="宋体"/>
              </w:rPr>
            </w:pPr>
          </w:p>
        </w:tc>
        <w:tc>
          <w:tcPr>
            <w:tcW w:w="652" w:type="pct"/>
            <w:tcBorders>
              <w:top w:val="single" w:color="auto" w:sz="8" w:space="0"/>
            </w:tcBorders>
            <w:vAlign w:val="center"/>
          </w:tcPr>
          <w:p w14:paraId="66E128FE">
            <w:pPr>
              <w:spacing w:line="360" w:lineRule="exact"/>
              <w:rPr>
                <w:rFonts w:hint="eastAsia" w:ascii="宋体" w:hAnsi="宋体"/>
              </w:rPr>
            </w:pPr>
          </w:p>
        </w:tc>
        <w:tc>
          <w:tcPr>
            <w:tcW w:w="760" w:type="pct"/>
            <w:tcBorders>
              <w:top w:val="single" w:color="auto" w:sz="8" w:space="0"/>
            </w:tcBorders>
            <w:vAlign w:val="center"/>
          </w:tcPr>
          <w:p w14:paraId="66EE73C2">
            <w:pPr>
              <w:spacing w:line="360" w:lineRule="exact"/>
              <w:rPr>
                <w:rFonts w:hint="eastAsia" w:ascii="宋体" w:hAnsi="宋体"/>
              </w:rPr>
            </w:pPr>
          </w:p>
        </w:tc>
        <w:tc>
          <w:tcPr>
            <w:tcW w:w="827" w:type="pct"/>
            <w:tcBorders>
              <w:top w:val="single" w:color="auto" w:sz="8" w:space="0"/>
            </w:tcBorders>
            <w:vAlign w:val="center"/>
          </w:tcPr>
          <w:p w14:paraId="64DBD15C">
            <w:pPr>
              <w:spacing w:line="360" w:lineRule="exact"/>
              <w:rPr>
                <w:rFonts w:hint="eastAsia" w:ascii="宋体" w:hAnsi="宋体"/>
              </w:rPr>
            </w:pPr>
          </w:p>
        </w:tc>
        <w:tc>
          <w:tcPr>
            <w:tcW w:w="982" w:type="pct"/>
            <w:tcBorders>
              <w:top w:val="single" w:color="auto" w:sz="8" w:space="0"/>
            </w:tcBorders>
          </w:tcPr>
          <w:p w14:paraId="5FFBA83C">
            <w:pPr>
              <w:spacing w:line="360" w:lineRule="exact"/>
              <w:rPr>
                <w:rFonts w:hint="eastAsia" w:ascii="宋体" w:hAnsi="宋体"/>
              </w:rPr>
            </w:pPr>
          </w:p>
        </w:tc>
      </w:tr>
      <w:tr w14:paraId="21F019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gridSpan w:val="2"/>
            <w:vAlign w:val="center"/>
          </w:tcPr>
          <w:p w14:paraId="34DBA57E">
            <w:pPr>
              <w:autoSpaceDE w:val="0"/>
              <w:autoSpaceDN w:val="0"/>
              <w:jc w:val="left"/>
              <w:rPr>
                <w:rFonts w:hint="eastAsia" w:ascii="宋体" w:hAnsi="宋体"/>
                <w:kern w:val="0"/>
              </w:rPr>
            </w:pPr>
            <w:r>
              <w:rPr>
                <w:rFonts w:hint="eastAsia" w:ascii="宋体" w:hAnsi="宋体"/>
                <w:kern w:val="0"/>
              </w:rPr>
              <w:t>2）运行机制</w:t>
            </w:r>
          </w:p>
        </w:tc>
        <w:tc>
          <w:tcPr>
            <w:tcW w:w="694" w:type="pct"/>
            <w:vAlign w:val="center"/>
          </w:tcPr>
          <w:p w14:paraId="6968A5CB">
            <w:pPr>
              <w:spacing w:line="360" w:lineRule="exact"/>
              <w:rPr>
                <w:rFonts w:hint="eastAsia" w:ascii="宋体" w:hAnsi="宋体"/>
              </w:rPr>
            </w:pPr>
          </w:p>
        </w:tc>
        <w:tc>
          <w:tcPr>
            <w:tcW w:w="652" w:type="pct"/>
            <w:vAlign w:val="center"/>
          </w:tcPr>
          <w:p w14:paraId="6EAD4079">
            <w:pPr>
              <w:spacing w:line="360" w:lineRule="exact"/>
              <w:rPr>
                <w:rFonts w:hint="eastAsia" w:ascii="宋体" w:hAnsi="宋体"/>
              </w:rPr>
            </w:pPr>
          </w:p>
        </w:tc>
        <w:tc>
          <w:tcPr>
            <w:tcW w:w="760" w:type="pct"/>
            <w:vAlign w:val="center"/>
          </w:tcPr>
          <w:p w14:paraId="078F5919">
            <w:pPr>
              <w:spacing w:line="360" w:lineRule="exact"/>
              <w:rPr>
                <w:rFonts w:hint="eastAsia" w:ascii="宋体" w:hAnsi="宋体"/>
              </w:rPr>
            </w:pPr>
          </w:p>
        </w:tc>
        <w:tc>
          <w:tcPr>
            <w:tcW w:w="827" w:type="pct"/>
            <w:vAlign w:val="center"/>
          </w:tcPr>
          <w:p w14:paraId="2159C05E">
            <w:pPr>
              <w:spacing w:line="360" w:lineRule="exact"/>
              <w:rPr>
                <w:rFonts w:hint="eastAsia" w:ascii="宋体" w:hAnsi="宋体"/>
              </w:rPr>
            </w:pPr>
          </w:p>
        </w:tc>
        <w:tc>
          <w:tcPr>
            <w:tcW w:w="982" w:type="pct"/>
          </w:tcPr>
          <w:p w14:paraId="0B35970A">
            <w:pPr>
              <w:spacing w:line="360" w:lineRule="exact"/>
              <w:rPr>
                <w:rFonts w:hint="eastAsia" w:ascii="宋体" w:hAnsi="宋体"/>
              </w:rPr>
            </w:pPr>
          </w:p>
        </w:tc>
      </w:tr>
      <w:tr w14:paraId="56B06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gridSpan w:val="2"/>
            <w:vAlign w:val="center"/>
          </w:tcPr>
          <w:p w14:paraId="1314C5EE">
            <w:pPr>
              <w:autoSpaceDE w:val="0"/>
              <w:autoSpaceDN w:val="0"/>
              <w:jc w:val="left"/>
              <w:rPr>
                <w:rFonts w:hint="eastAsia" w:ascii="宋体" w:hAnsi="宋体"/>
                <w:kern w:val="0"/>
              </w:rPr>
            </w:pPr>
            <w:r>
              <w:rPr>
                <w:rFonts w:hint="eastAsia" w:ascii="宋体" w:hAnsi="宋体"/>
                <w:kern w:val="0"/>
              </w:rPr>
              <w:t>3）人员与队伍</w:t>
            </w:r>
          </w:p>
        </w:tc>
        <w:tc>
          <w:tcPr>
            <w:tcW w:w="694" w:type="pct"/>
            <w:vAlign w:val="center"/>
          </w:tcPr>
          <w:p w14:paraId="1EFA0006">
            <w:pPr>
              <w:spacing w:line="360" w:lineRule="exact"/>
              <w:rPr>
                <w:rFonts w:hint="eastAsia" w:ascii="宋体" w:hAnsi="宋体"/>
              </w:rPr>
            </w:pPr>
          </w:p>
        </w:tc>
        <w:tc>
          <w:tcPr>
            <w:tcW w:w="652" w:type="pct"/>
            <w:vAlign w:val="center"/>
          </w:tcPr>
          <w:p w14:paraId="77DFA15F">
            <w:pPr>
              <w:spacing w:line="360" w:lineRule="exact"/>
              <w:rPr>
                <w:rFonts w:hint="eastAsia" w:ascii="宋体" w:hAnsi="宋体"/>
              </w:rPr>
            </w:pPr>
          </w:p>
        </w:tc>
        <w:tc>
          <w:tcPr>
            <w:tcW w:w="760" w:type="pct"/>
            <w:vAlign w:val="center"/>
          </w:tcPr>
          <w:p w14:paraId="593EA662">
            <w:pPr>
              <w:spacing w:line="360" w:lineRule="exact"/>
              <w:rPr>
                <w:rFonts w:hint="eastAsia" w:ascii="宋体" w:hAnsi="宋体"/>
              </w:rPr>
            </w:pPr>
          </w:p>
        </w:tc>
        <w:tc>
          <w:tcPr>
            <w:tcW w:w="827" w:type="pct"/>
            <w:vAlign w:val="center"/>
          </w:tcPr>
          <w:p w14:paraId="5381D498">
            <w:pPr>
              <w:spacing w:line="360" w:lineRule="exact"/>
              <w:rPr>
                <w:rFonts w:hint="eastAsia" w:ascii="宋体" w:hAnsi="宋体"/>
              </w:rPr>
            </w:pPr>
          </w:p>
        </w:tc>
        <w:tc>
          <w:tcPr>
            <w:tcW w:w="982" w:type="pct"/>
          </w:tcPr>
          <w:p w14:paraId="36C5A0A3">
            <w:pPr>
              <w:spacing w:line="360" w:lineRule="exact"/>
              <w:rPr>
                <w:rFonts w:hint="eastAsia" w:ascii="宋体" w:hAnsi="宋体"/>
              </w:rPr>
            </w:pPr>
          </w:p>
        </w:tc>
      </w:tr>
      <w:tr w14:paraId="3CE09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vMerge w:val="restart"/>
            <w:vAlign w:val="center"/>
          </w:tcPr>
          <w:p w14:paraId="48D5D11A">
            <w:pPr>
              <w:autoSpaceDE w:val="0"/>
              <w:autoSpaceDN w:val="0"/>
              <w:jc w:val="left"/>
              <w:rPr>
                <w:rFonts w:hint="eastAsia" w:ascii="宋体" w:hAnsi="宋体"/>
                <w:kern w:val="0"/>
              </w:rPr>
            </w:pPr>
            <w:r>
              <w:rPr>
                <w:rFonts w:hint="eastAsia" w:ascii="宋体" w:hAnsi="宋体"/>
                <w:kern w:val="0"/>
              </w:rPr>
              <w:t>4）物资装备</w:t>
            </w:r>
          </w:p>
        </w:tc>
        <w:tc>
          <w:tcPr>
            <w:tcW w:w="481" w:type="pct"/>
            <w:vAlign w:val="center"/>
          </w:tcPr>
          <w:p w14:paraId="4DC3B0EE">
            <w:pPr>
              <w:autoSpaceDE w:val="0"/>
              <w:autoSpaceDN w:val="0"/>
              <w:jc w:val="left"/>
              <w:rPr>
                <w:rFonts w:hint="eastAsia" w:ascii="宋体" w:hAnsi="宋体"/>
                <w:kern w:val="0"/>
              </w:rPr>
            </w:pPr>
          </w:p>
        </w:tc>
        <w:tc>
          <w:tcPr>
            <w:tcW w:w="694" w:type="pct"/>
            <w:vAlign w:val="center"/>
          </w:tcPr>
          <w:p w14:paraId="6767762C">
            <w:pPr>
              <w:spacing w:line="360" w:lineRule="exact"/>
              <w:rPr>
                <w:rFonts w:hint="eastAsia" w:ascii="宋体" w:hAnsi="宋体"/>
              </w:rPr>
            </w:pPr>
          </w:p>
        </w:tc>
        <w:tc>
          <w:tcPr>
            <w:tcW w:w="652" w:type="pct"/>
            <w:vAlign w:val="center"/>
          </w:tcPr>
          <w:p w14:paraId="072D5C6A">
            <w:pPr>
              <w:spacing w:line="360" w:lineRule="exact"/>
              <w:rPr>
                <w:rFonts w:hint="eastAsia" w:ascii="宋体" w:hAnsi="宋体"/>
              </w:rPr>
            </w:pPr>
          </w:p>
        </w:tc>
        <w:tc>
          <w:tcPr>
            <w:tcW w:w="760" w:type="pct"/>
            <w:vAlign w:val="center"/>
          </w:tcPr>
          <w:p w14:paraId="723F0D98">
            <w:pPr>
              <w:spacing w:line="360" w:lineRule="exact"/>
              <w:rPr>
                <w:rFonts w:hint="eastAsia" w:ascii="宋体" w:hAnsi="宋体"/>
              </w:rPr>
            </w:pPr>
          </w:p>
        </w:tc>
        <w:tc>
          <w:tcPr>
            <w:tcW w:w="827" w:type="pct"/>
            <w:vAlign w:val="center"/>
          </w:tcPr>
          <w:p w14:paraId="77F97E2C">
            <w:pPr>
              <w:spacing w:line="360" w:lineRule="exact"/>
              <w:rPr>
                <w:rFonts w:hint="eastAsia" w:ascii="宋体" w:hAnsi="宋体"/>
              </w:rPr>
            </w:pPr>
          </w:p>
        </w:tc>
        <w:tc>
          <w:tcPr>
            <w:tcW w:w="982" w:type="pct"/>
          </w:tcPr>
          <w:p w14:paraId="396A44DD">
            <w:pPr>
              <w:spacing w:line="360" w:lineRule="exact"/>
              <w:rPr>
                <w:rFonts w:hint="eastAsia" w:ascii="宋体" w:hAnsi="宋体"/>
              </w:rPr>
            </w:pPr>
          </w:p>
        </w:tc>
      </w:tr>
      <w:tr w14:paraId="02800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vMerge w:val="continue"/>
            <w:vAlign w:val="center"/>
          </w:tcPr>
          <w:p w14:paraId="0EBD0164">
            <w:pPr>
              <w:autoSpaceDE w:val="0"/>
              <w:autoSpaceDN w:val="0"/>
              <w:jc w:val="left"/>
              <w:rPr>
                <w:rFonts w:hint="eastAsia" w:ascii="宋体" w:hAnsi="宋体"/>
                <w:kern w:val="0"/>
              </w:rPr>
            </w:pPr>
          </w:p>
        </w:tc>
        <w:tc>
          <w:tcPr>
            <w:tcW w:w="481" w:type="pct"/>
            <w:vAlign w:val="center"/>
          </w:tcPr>
          <w:p w14:paraId="03EB17E6">
            <w:pPr>
              <w:autoSpaceDE w:val="0"/>
              <w:autoSpaceDN w:val="0"/>
              <w:jc w:val="left"/>
              <w:rPr>
                <w:rFonts w:hint="eastAsia" w:ascii="宋体" w:hAnsi="宋体"/>
                <w:kern w:val="0"/>
              </w:rPr>
            </w:pPr>
          </w:p>
        </w:tc>
        <w:tc>
          <w:tcPr>
            <w:tcW w:w="694" w:type="pct"/>
            <w:vAlign w:val="center"/>
          </w:tcPr>
          <w:p w14:paraId="6D00795D">
            <w:pPr>
              <w:spacing w:line="360" w:lineRule="exact"/>
              <w:rPr>
                <w:rFonts w:hint="eastAsia" w:ascii="宋体" w:hAnsi="宋体"/>
              </w:rPr>
            </w:pPr>
          </w:p>
        </w:tc>
        <w:tc>
          <w:tcPr>
            <w:tcW w:w="652" w:type="pct"/>
            <w:vAlign w:val="center"/>
          </w:tcPr>
          <w:p w14:paraId="463CE86F">
            <w:pPr>
              <w:spacing w:line="360" w:lineRule="exact"/>
              <w:rPr>
                <w:rFonts w:hint="eastAsia" w:ascii="宋体" w:hAnsi="宋体"/>
              </w:rPr>
            </w:pPr>
          </w:p>
        </w:tc>
        <w:tc>
          <w:tcPr>
            <w:tcW w:w="760" w:type="pct"/>
            <w:vAlign w:val="center"/>
          </w:tcPr>
          <w:p w14:paraId="29ADC9B6">
            <w:pPr>
              <w:spacing w:line="360" w:lineRule="exact"/>
              <w:rPr>
                <w:rFonts w:hint="eastAsia" w:ascii="宋体" w:hAnsi="宋体"/>
              </w:rPr>
            </w:pPr>
          </w:p>
        </w:tc>
        <w:tc>
          <w:tcPr>
            <w:tcW w:w="827" w:type="pct"/>
            <w:vAlign w:val="center"/>
          </w:tcPr>
          <w:p w14:paraId="0B20075D">
            <w:pPr>
              <w:spacing w:line="360" w:lineRule="exact"/>
              <w:rPr>
                <w:rFonts w:hint="eastAsia" w:ascii="宋体" w:hAnsi="宋体"/>
              </w:rPr>
            </w:pPr>
          </w:p>
        </w:tc>
        <w:tc>
          <w:tcPr>
            <w:tcW w:w="982" w:type="pct"/>
          </w:tcPr>
          <w:p w14:paraId="66C72FC2">
            <w:pPr>
              <w:spacing w:line="360" w:lineRule="exact"/>
              <w:rPr>
                <w:rFonts w:hint="eastAsia" w:ascii="宋体" w:hAnsi="宋体"/>
              </w:rPr>
            </w:pPr>
          </w:p>
        </w:tc>
      </w:tr>
      <w:tr w14:paraId="1C7F7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vMerge w:val="continue"/>
            <w:vAlign w:val="center"/>
          </w:tcPr>
          <w:p w14:paraId="05DC9C4C">
            <w:pPr>
              <w:autoSpaceDE w:val="0"/>
              <w:autoSpaceDN w:val="0"/>
              <w:jc w:val="left"/>
              <w:rPr>
                <w:rFonts w:hint="eastAsia" w:ascii="宋体" w:hAnsi="宋体"/>
                <w:kern w:val="0"/>
              </w:rPr>
            </w:pPr>
          </w:p>
        </w:tc>
        <w:tc>
          <w:tcPr>
            <w:tcW w:w="481" w:type="pct"/>
            <w:vAlign w:val="center"/>
          </w:tcPr>
          <w:p w14:paraId="7B64BEF7">
            <w:pPr>
              <w:autoSpaceDE w:val="0"/>
              <w:autoSpaceDN w:val="0"/>
              <w:jc w:val="left"/>
              <w:rPr>
                <w:rFonts w:hint="eastAsia" w:ascii="宋体" w:hAnsi="宋体"/>
                <w:kern w:val="0"/>
              </w:rPr>
            </w:pPr>
          </w:p>
        </w:tc>
        <w:tc>
          <w:tcPr>
            <w:tcW w:w="694" w:type="pct"/>
            <w:vAlign w:val="center"/>
          </w:tcPr>
          <w:p w14:paraId="62FEF2C5">
            <w:pPr>
              <w:spacing w:line="360" w:lineRule="exact"/>
              <w:rPr>
                <w:rFonts w:hint="eastAsia" w:ascii="宋体" w:hAnsi="宋体"/>
              </w:rPr>
            </w:pPr>
          </w:p>
        </w:tc>
        <w:tc>
          <w:tcPr>
            <w:tcW w:w="652" w:type="pct"/>
            <w:vAlign w:val="center"/>
          </w:tcPr>
          <w:p w14:paraId="69B45398">
            <w:pPr>
              <w:spacing w:line="360" w:lineRule="exact"/>
              <w:rPr>
                <w:rFonts w:hint="eastAsia" w:ascii="宋体" w:hAnsi="宋体"/>
              </w:rPr>
            </w:pPr>
          </w:p>
        </w:tc>
        <w:tc>
          <w:tcPr>
            <w:tcW w:w="760" w:type="pct"/>
            <w:vAlign w:val="center"/>
          </w:tcPr>
          <w:p w14:paraId="45F7DADD">
            <w:pPr>
              <w:spacing w:line="360" w:lineRule="exact"/>
              <w:rPr>
                <w:rFonts w:hint="eastAsia" w:ascii="宋体" w:hAnsi="宋体"/>
              </w:rPr>
            </w:pPr>
          </w:p>
        </w:tc>
        <w:tc>
          <w:tcPr>
            <w:tcW w:w="827" w:type="pct"/>
            <w:vAlign w:val="center"/>
          </w:tcPr>
          <w:p w14:paraId="509438A9">
            <w:pPr>
              <w:spacing w:line="360" w:lineRule="exact"/>
              <w:rPr>
                <w:rFonts w:hint="eastAsia" w:ascii="宋体" w:hAnsi="宋体"/>
              </w:rPr>
            </w:pPr>
          </w:p>
        </w:tc>
        <w:tc>
          <w:tcPr>
            <w:tcW w:w="982" w:type="pct"/>
          </w:tcPr>
          <w:p w14:paraId="614E8635">
            <w:pPr>
              <w:spacing w:line="360" w:lineRule="exact"/>
              <w:rPr>
                <w:rFonts w:hint="eastAsia" w:ascii="宋体" w:hAnsi="宋体"/>
              </w:rPr>
            </w:pPr>
          </w:p>
        </w:tc>
      </w:tr>
      <w:tr w14:paraId="336AD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gridSpan w:val="2"/>
            <w:vAlign w:val="center"/>
          </w:tcPr>
          <w:p w14:paraId="622FD58F">
            <w:pPr>
              <w:autoSpaceDE w:val="0"/>
              <w:autoSpaceDN w:val="0"/>
              <w:jc w:val="left"/>
              <w:rPr>
                <w:rFonts w:hint="eastAsia" w:ascii="宋体" w:hAnsi="宋体"/>
                <w:kern w:val="0"/>
              </w:rPr>
            </w:pPr>
            <w:r>
              <w:rPr>
                <w:rFonts w:hint="eastAsia" w:ascii="宋体" w:hAnsi="宋体"/>
                <w:kern w:val="0"/>
              </w:rPr>
              <w:t>5）预案与计划</w:t>
            </w:r>
          </w:p>
        </w:tc>
        <w:tc>
          <w:tcPr>
            <w:tcW w:w="694" w:type="pct"/>
            <w:vAlign w:val="center"/>
          </w:tcPr>
          <w:p w14:paraId="6020C868">
            <w:pPr>
              <w:spacing w:line="360" w:lineRule="exact"/>
              <w:rPr>
                <w:rFonts w:hint="eastAsia" w:ascii="宋体" w:hAnsi="宋体"/>
              </w:rPr>
            </w:pPr>
          </w:p>
        </w:tc>
        <w:tc>
          <w:tcPr>
            <w:tcW w:w="652" w:type="pct"/>
            <w:vAlign w:val="center"/>
          </w:tcPr>
          <w:p w14:paraId="64B5287A">
            <w:pPr>
              <w:spacing w:line="360" w:lineRule="exact"/>
              <w:rPr>
                <w:rFonts w:hint="eastAsia" w:ascii="宋体" w:hAnsi="宋体"/>
              </w:rPr>
            </w:pPr>
          </w:p>
        </w:tc>
        <w:tc>
          <w:tcPr>
            <w:tcW w:w="760" w:type="pct"/>
            <w:vAlign w:val="center"/>
          </w:tcPr>
          <w:p w14:paraId="14DEC357">
            <w:pPr>
              <w:spacing w:line="360" w:lineRule="exact"/>
              <w:rPr>
                <w:rFonts w:hint="eastAsia" w:ascii="宋体" w:hAnsi="宋体"/>
              </w:rPr>
            </w:pPr>
          </w:p>
        </w:tc>
        <w:tc>
          <w:tcPr>
            <w:tcW w:w="827" w:type="pct"/>
            <w:vAlign w:val="center"/>
          </w:tcPr>
          <w:p w14:paraId="40F88D1D">
            <w:pPr>
              <w:spacing w:line="360" w:lineRule="exact"/>
              <w:rPr>
                <w:rFonts w:hint="eastAsia" w:ascii="宋体" w:hAnsi="宋体"/>
              </w:rPr>
            </w:pPr>
          </w:p>
        </w:tc>
        <w:tc>
          <w:tcPr>
            <w:tcW w:w="982" w:type="pct"/>
          </w:tcPr>
          <w:p w14:paraId="1A4A6755">
            <w:pPr>
              <w:spacing w:line="360" w:lineRule="exact"/>
              <w:rPr>
                <w:rFonts w:hint="eastAsia" w:ascii="宋体" w:hAnsi="宋体"/>
              </w:rPr>
            </w:pPr>
          </w:p>
        </w:tc>
      </w:tr>
      <w:tr w14:paraId="123BB2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gridSpan w:val="2"/>
            <w:vAlign w:val="center"/>
          </w:tcPr>
          <w:p w14:paraId="254E6528">
            <w:pPr>
              <w:autoSpaceDE w:val="0"/>
              <w:autoSpaceDN w:val="0"/>
              <w:jc w:val="left"/>
              <w:rPr>
                <w:rFonts w:hint="eastAsia" w:ascii="宋体" w:hAnsi="宋体"/>
                <w:kern w:val="0"/>
              </w:rPr>
            </w:pPr>
            <w:r>
              <w:rPr>
                <w:rFonts w:hint="eastAsia" w:ascii="宋体" w:hAnsi="宋体"/>
                <w:kern w:val="0"/>
              </w:rPr>
              <w:t>6）培训与演练</w:t>
            </w:r>
          </w:p>
        </w:tc>
        <w:tc>
          <w:tcPr>
            <w:tcW w:w="694" w:type="pct"/>
            <w:vAlign w:val="center"/>
          </w:tcPr>
          <w:p w14:paraId="4B8B6986">
            <w:pPr>
              <w:spacing w:line="360" w:lineRule="exact"/>
              <w:rPr>
                <w:rFonts w:hint="eastAsia" w:ascii="宋体" w:hAnsi="宋体"/>
              </w:rPr>
            </w:pPr>
          </w:p>
        </w:tc>
        <w:tc>
          <w:tcPr>
            <w:tcW w:w="652" w:type="pct"/>
            <w:vAlign w:val="center"/>
          </w:tcPr>
          <w:p w14:paraId="3E5C2A26">
            <w:pPr>
              <w:spacing w:line="360" w:lineRule="exact"/>
              <w:rPr>
                <w:rFonts w:hint="eastAsia" w:ascii="宋体" w:hAnsi="宋体"/>
              </w:rPr>
            </w:pPr>
          </w:p>
        </w:tc>
        <w:tc>
          <w:tcPr>
            <w:tcW w:w="760" w:type="pct"/>
            <w:vAlign w:val="center"/>
          </w:tcPr>
          <w:p w14:paraId="70C9BFEE">
            <w:pPr>
              <w:spacing w:line="360" w:lineRule="exact"/>
              <w:rPr>
                <w:rFonts w:hint="eastAsia" w:ascii="宋体" w:hAnsi="宋体"/>
              </w:rPr>
            </w:pPr>
          </w:p>
        </w:tc>
        <w:tc>
          <w:tcPr>
            <w:tcW w:w="827" w:type="pct"/>
            <w:vAlign w:val="center"/>
          </w:tcPr>
          <w:p w14:paraId="06D4FC49">
            <w:pPr>
              <w:spacing w:line="360" w:lineRule="exact"/>
              <w:rPr>
                <w:rFonts w:hint="eastAsia" w:ascii="宋体" w:hAnsi="宋体"/>
              </w:rPr>
            </w:pPr>
          </w:p>
        </w:tc>
        <w:tc>
          <w:tcPr>
            <w:tcW w:w="982" w:type="pct"/>
          </w:tcPr>
          <w:p w14:paraId="33DF2282">
            <w:pPr>
              <w:spacing w:line="360" w:lineRule="exact"/>
              <w:rPr>
                <w:rFonts w:hint="eastAsia" w:ascii="宋体" w:hAnsi="宋体"/>
              </w:rPr>
            </w:pPr>
          </w:p>
        </w:tc>
      </w:tr>
      <w:tr w14:paraId="4D3C8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gridSpan w:val="2"/>
            <w:vAlign w:val="center"/>
          </w:tcPr>
          <w:p w14:paraId="173F0AC6">
            <w:pPr>
              <w:spacing w:line="360" w:lineRule="auto"/>
              <w:rPr>
                <w:rFonts w:hint="eastAsia" w:ascii="宋体" w:hAnsi="宋体"/>
              </w:rPr>
            </w:pPr>
            <w:r>
              <w:rPr>
                <w:rFonts w:hint="eastAsia" w:ascii="宋体" w:hAnsi="宋体"/>
              </w:rPr>
              <w:t>……</w:t>
            </w:r>
          </w:p>
        </w:tc>
        <w:tc>
          <w:tcPr>
            <w:tcW w:w="694" w:type="pct"/>
            <w:vAlign w:val="center"/>
          </w:tcPr>
          <w:p w14:paraId="688CFF15">
            <w:pPr>
              <w:spacing w:line="360" w:lineRule="exact"/>
              <w:rPr>
                <w:rFonts w:hint="eastAsia" w:ascii="宋体" w:hAnsi="宋体"/>
              </w:rPr>
            </w:pPr>
          </w:p>
        </w:tc>
        <w:tc>
          <w:tcPr>
            <w:tcW w:w="652" w:type="pct"/>
            <w:vAlign w:val="center"/>
          </w:tcPr>
          <w:p w14:paraId="0422A877">
            <w:pPr>
              <w:spacing w:line="360" w:lineRule="exact"/>
              <w:rPr>
                <w:rFonts w:hint="eastAsia" w:ascii="宋体" w:hAnsi="宋体"/>
              </w:rPr>
            </w:pPr>
          </w:p>
        </w:tc>
        <w:tc>
          <w:tcPr>
            <w:tcW w:w="760" w:type="pct"/>
            <w:vAlign w:val="center"/>
          </w:tcPr>
          <w:p w14:paraId="40A59CEB">
            <w:pPr>
              <w:spacing w:line="360" w:lineRule="exact"/>
              <w:rPr>
                <w:rFonts w:hint="eastAsia" w:ascii="宋体" w:hAnsi="宋体"/>
              </w:rPr>
            </w:pPr>
          </w:p>
        </w:tc>
        <w:tc>
          <w:tcPr>
            <w:tcW w:w="827" w:type="pct"/>
            <w:vAlign w:val="center"/>
          </w:tcPr>
          <w:p w14:paraId="2C81CC59">
            <w:pPr>
              <w:spacing w:line="360" w:lineRule="exact"/>
              <w:rPr>
                <w:rFonts w:hint="eastAsia" w:ascii="宋体" w:hAnsi="宋体"/>
              </w:rPr>
            </w:pPr>
          </w:p>
        </w:tc>
        <w:tc>
          <w:tcPr>
            <w:tcW w:w="982" w:type="pct"/>
          </w:tcPr>
          <w:p w14:paraId="0A89382B">
            <w:pPr>
              <w:spacing w:line="360" w:lineRule="exact"/>
              <w:rPr>
                <w:rFonts w:hint="eastAsia" w:ascii="宋体" w:hAnsi="宋体"/>
              </w:rPr>
            </w:pPr>
          </w:p>
        </w:tc>
      </w:tr>
    </w:tbl>
    <w:p w14:paraId="2641669E">
      <w:pPr>
        <w:pStyle w:val="60"/>
        <w:ind w:firstLine="420"/>
      </w:pPr>
    </w:p>
    <w:bookmarkEnd w:id="24"/>
    <w:p w14:paraId="360A7252">
      <w:pPr>
        <w:pStyle w:val="203"/>
        <w:rPr>
          <w:rFonts w:hint="eastAsia"/>
        </w:rPr>
      </w:pPr>
    </w:p>
    <w:p w14:paraId="49D09319">
      <w:pPr>
        <w:pStyle w:val="204"/>
      </w:pPr>
    </w:p>
    <w:p w14:paraId="61A801B8">
      <w:pPr>
        <w:pStyle w:val="60"/>
        <w:ind w:firstLine="420"/>
      </w:pPr>
    </w:p>
    <w:p w14:paraId="0556CF4E">
      <w:pPr>
        <w:pStyle w:val="60"/>
        <w:ind w:firstLine="420"/>
      </w:pPr>
    </w:p>
    <w:bookmarkEnd w:id="167"/>
    <w:p w14:paraId="0B662BD4">
      <w:pPr>
        <w:pStyle w:val="60"/>
        <w:ind w:firstLine="420"/>
        <w:sectPr>
          <w:pgSz w:w="11906" w:h="16838"/>
          <w:pgMar w:top="1928" w:right="1134" w:bottom="1134" w:left="1134" w:header="1418" w:footer="1134" w:gutter="284"/>
          <w:cols w:space="425" w:num="1"/>
          <w:formProt w:val="0"/>
          <w:docGrid w:type="lines" w:linePitch="312" w:charSpace="0"/>
        </w:sectPr>
      </w:pPr>
      <w:bookmarkStart w:id="207" w:name="BookMark6"/>
    </w:p>
    <w:p w14:paraId="4D112013">
      <w:pPr>
        <w:pStyle w:val="67"/>
        <w:spacing w:after="156"/>
      </w:pPr>
      <w:bookmarkStart w:id="208" w:name="_Toc173425667"/>
      <w:bookmarkStart w:id="209" w:name="_Toc175560308"/>
      <w:bookmarkStart w:id="210" w:name="_Toc175560218"/>
      <w:r>
        <w:rPr>
          <w:rFonts w:hint="eastAsia"/>
          <w:spacing w:val="105"/>
        </w:rPr>
        <w:t>参考文</w:t>
      </w:r>
      <w:r>
        <w:rPr>
          <w:rFonts w:hint="eastAsia"/>
        </w:rPr>
        <w:t>献</w:t>
      </w:r>
      <w:bookmarkEnd w:id="208"/>
      <w:bookmarkEnd w:id="209"/>
      <w:bookmarkEnd w:id="210"/>
    </w:p>
    <w:p w14:paraId="2508633A">
      <w:pPr>
        <w:pStyle w:val="60"/>
        <w:ind w:firstLine="420"/>
      </w:pPr>
      <w:r>
        <w:rPr>
          <w:rFonts w:hint="eastAsia"/>
        </w:rPr>
        <w:t>[1] T/CAPSA 11503—2021 重大活动安全风险评估情景构建</w:t>
      </w:r>
    </w:p>
    <w:p w14:paraId="4DD3783E">
      <w:pPr>
        <w:pStyle w:val="60"/>
        <w:ind w:firstLine="420"/>
      </w:pPr>
      <w:r>
        <w:rPr>
          <w:rFonts w:hint="eastAsia"/>
        </w:rPr>
        <w:t>[2]《突发事件应急预案管理办法》（国办发〔2024〕5号）</w:t>
      </w:r>
    </w:p>
    <w:p w14:paraId="44B8CA00">
      <w:pPr>
        <w:pStyle w:val="60"/>
        <w:ind w:firstLine="420"/>
      </w:pPr>
    </w:p>
    <w:p w14:paraId="002A35ED">
      <w:pPr>
        <w:pStyle w:val="60"/>
        <w:ind w:firstLine="420"/>
      </w:pPr>
      <w:r>
        <w:rPr>
          <w:rFonts w:hint="eastAsia"/>
        </w:rPr>
        <w:t xml:space="preserve"> </w:t>
      </w:r>
    </w:p>
    <w:p w14:paraId="6E6362FE">
      <w:pPr>
        <w:pStyle w:val="60"/>
        <w:ind w:firstLine="420"/>
      </w:pPr>
    </w:p>
    <w:p w14:paraId="75D99652">
      <w:pPr>
        <w:pStyle w:val="60"/>
        <w:ind w:firstLine="420"/>
      </w:pPr>
    </w:p>
    <w:p w14:paraId="3768AD2B">
      <w:pPr>
        <w:pStyle w:val="60"/>
        <w:ind w:firstLine="420"/>
      </w:pPr>
    </w:p>
    <w:bookmarkEnd w:id="207"/>
    <w:p w14:paraId="4FC6A729">
      <w:pPr>
        <w:pStyle w:val="60"/>
        <w:ind w:firstLine="420"/>
        <w:sectPr>
          <w:pgSz w:w="11906" w:h="16838"/>
          <w:pgMar w:top="1928" w:right="1134" w:bottom="1134" w:left="1134" w:header="1418" w:footer="1134" w:gutter="284"/>
          <w:cols w:space="425" w:num="1"/>
          <w:formProt w:val="0"/>
          <w:docGrid w:type="lines" w:linePitch="312" w:charSpace="0"/>
        </w:sectPr>
      </w:pPr>
    </w:p>
    <w:p w14:paraId="28CCE452">
      <w:pPr>
        <w:adjustRightInd/>
        <w:spacing w:line="240" w:lineRule="auto"/>
        <w:rPr>
          <w:rFonts w:hint="eastAsia" w:ascii="宋体" w:hAnsi="宋体" w:eastAsia="仿宋"/>
          <w:sz w:val="30"/>
          <w:szCs w:val="30"/>
        </w:rPr>
      </w:pPr>
    </w:p>
    <w:p w14:paraId="575FD4DC">
      <w:pPr>
        <w:spacing w:after="120" w:line="560" w:lineRule="exact"/>
        <w:ind w:firstLine="640" w:firstLineChars="200"/>
        <w:rPr>
          <w:rFonts w:hint="eastAsia" w:ascii="宋体" w:hAnsi="宋体" w:eastAsia="方正仿宋_GBK"/>
          <w:sz w:val="32"/>
          <w:szCs w:val="22"/>
        </w:rPr>
      </w:pPr>
    </w:p>
    <w:p w14:paraId="1275E92C">
      <w:pPr>
        <w:adjustRightInd/>
        <w:spacing w:line="240" w:lineRule="auto"/>
        <w:rPr>
          <w:rFonts w:hint="eastAsia" w:ascii="宋体" w:hAnsi="宋体" w:eastAsia="仿宋"/>
          <w:sz w:val="44"/>
          <w:szCs w:val="44"/>
        </w:rPr>
      </w:pPr>
    </w:p>
    <w:p w14:paraId="507EEA04">
      <w:pPr>
        <w:adjustRightInd/>
        <w:spacing w:line="240" w:lineRule="auto"/>
        <w:rPr>
          <w:rFonts w:hint="eastAsia" w:ascii="宋体" w:hAnsi="宋体" w:eastAsia="仿宋"/>
          <w:sz w:val="44"/>
          <w:szCs w:val="44"/>
        </w:rPr>
      </w:pPr>
    </w:p>
    <w:p w14:paraId="2FE47BAA">
      <w:pPr>
        <w:adjustRightInd/>
        <w:spacing w:line="240" w:lineRule="auto"/>
        <w:rPr>
          <w:rFonts w:hint="eastAsia" w:ascii="宋体" w:hAnsi="宋体" w:eastAsia="仿宋"/>
          <w:sz w:val="44"/>
          <w:szCs w:val="44"/>
        </w:rPr>
      </w:pPr>
    </w:p>
    <w:p w14:paraId="6B68E4EC">
      <w:pPr>
        <w:adjustRightInd/>
        <w:spacing w:line="240" w:lineRule="auto"/>
        <w:jc w:val="center"/>
        <w:rPr>
          <w:rFonts w:hint="eastAsia" w:ascii="宋体" w:hAnsi="宋体" w:eastAsia="方正小标宋简体" w:cs="方正小标宋简体"/>
          <w:sz w:val="44"/>
          <w:szCs w:val="44"/>
        </w:rPr>
      </w:pPr>
      <w:bookmarkStart w:id="211" w:name="_Toc2085077807_WPSOffice_Level2"/>
      <w:r>
        <w:rPr>
          <w:rFonts w:hint="eastAsia" w:ascii="宋体" w:hAnsi="宋体" w:eastAsia="方正小标宋简体" w:cs="方正小标宋简体"/>
          <w:sz w:val="44"/>
          <w:szCs w:val="44"/>
        </w:rPr>
        <w:t>《应急预案情景构建方法》</w:t>
      </w:r>
    </w:p>
    <w:p w14:paraId="32232C78">
      <w:pPr>
        <w:adjustRightInd/>
        <w:spacing w:line="240" w:lineRule="auto"/>
        <w:jc w:val="center"/>
        <w:rPr>
          <w:rFonts w:hint="eastAsia" w:ascii="宋体" w:hAnsi="宋体" w:eastAsia="仿宋"/>
          <w:sz w:val="32"/>
          <w:szCs w:val="32"/>
        </w:rPr>
      </w:pPr>
      <w:r>
        <w:rPr>
          <w:rFonts w:hint="eastAsia" w:ascii="宋体" w:hAnsi="宋体" w:eastAsia="仿宋"/>
          <w:sz w:val="32"/>
          <w:szCs w:val="32"/>
        </w:rPr>
        <w:t>（</w:t>
      </w:r>
      <w:r>
        <w:rPr>
          <w:rFonts w:hint="eastAsia" w:ascii="宋体" w:hAnsi="宋体" w:eastAsia="仿宋" w:cs="东文宋体"/>
          <w:sz w:val="32"/>
          <w:szCs w:val="24"/>
        </w:rPr>
        <w:t>■</w:t>
      </w:r>
      <w:r>
        <w:rPr>
          <w:rFonts w:hint="eastAsia" w:ascii="宋体" w:hAnsi="宋体" w:eastAsia="仿宋"/>
          <w:sz w:val="32"/>
          <w:szCs w:val="32"/>
        </w:rPr>
        <w:t>征求意见稿</w:t>
      </w:r>
      <w:r>
        <w:rPr>
          <w:rFonts w:ascii="宋体" w:hAnsi="宋体" w:eastAsia="仿宋"/>
          <w:sz w:val="32"/>
          <w:szCs w:val="32"/>
        </w:rPr>
        <w:t xml:space="preserve">  </w:t>
      </w:r>
      <w:r>
        <w:rPr>
          <w:rFonts w:hint="eastAsia" w:ascii="宋体" w:hAnsi="宋体" w:eastAsia="仿宋"/>
          <w:sz w:val="32"/>
          <w:szCs w:val="32"/>
        </w:rPr>
        <w:t>□送审稿</w:t>
      </w:r>
      <w:r>
        <w:rPr>
          <w:rFonts w:ascii="宋体" w:hAnsi="宋体" w:eastAsia="仿宋"/>
          <w:sz w:val="32"/>
          <w:szCs w:val="32"/>
        </w:rPr>
        <w:t xml:space="preserve">  </w:t>
      </w:r>
      <w:r>
        <w:rPr>
          <w:rFonts w:hint="eastAsia" w:ascii="宋体" w:hAnsi="宋体" w:eastAsia="仿宋"/>
          <w:sz w:val="32"/>
          <w:szCs w:val="32"/>
        </w:rPr>
        <w:t>□报批稿）</w:t>
      </w:r>
    </w:p>
    <w:p w14:paraId="0A6DBF74">
      <w:pPr>
        <w:adjustRightInd/>
        <w:spacing w:line="240" w:lineRule="auto"/>
        <w:jc w:val="center"/>
        <w:rPr>
          <w:rFonts w:hint="eastAsia" w:ascii="宋体" w:hAnsi="宋体" w:eastAsia="方正小标宋简体"/>
          <w:sz w:val="44"/>
          <w:szCs w:val="44"/>
        </w:rPr>
      </w:pPr>
    </w:p>
    <w:p w14:paraId="2F568009">
      <w:pPr>
        <w:adjustRightInd/>
        <w:spacing w:line="240" w:lineRule="auto"/>
        <w:jc w:val="center"/>
        <w:rPr>
          <w:rFonts w:hint="eastAsia" w:ascii="宋体" w:hAnsi="宋体" w:eastAsia="黑体" w:cs="黑体"/>
          <w:sz w:val="44"/>
          <w:szCs w:val="44"/>
        </w:rPr>
      </w:pPr>
      <w:r>
        <w:rPr>
          <w:rFonts w:hint="eastAsia" w:ascii="宋体" w:hAnsi="宋体" w:eastAsia="黑体" w:cs="黑体"/>
          <w:sz w:val="44"/>
          <w:szCs w:val="44"/>
        </w:rPr>
        <w:t>编制说明</w:t>
      </w:r>
      <w:bookmarkEnd w:id="211"/>
    </w:p>
    <w:p w14:paraId="247AAA45">
      <w:pPr>
        <w:adjustRightInd/>
        <w:spacing w:line="240" w:lineRule="auto"/>
        <w:jc w:val="center"/>
        <w:rPr>
          <w:rFonts w:hint="eastAsia" w:ascii="宋体" w:hAnsi="宋体" w:eastAsia="仿宋"/>
          <w:b/>
          <w:bCs/>
          <w:i/>
          <w:iCs/>
          <w:sz w:val="28"/>
          <w:szCs w:val="28"/>
        </w:rPr>
      </w:pPr>
      <w:r>
        <w:rPr>
          <w:rFonts w:ascii="宋体" w:hAnsi="宋体" w:eastAsia="仿宋"/>
          <w:i/>
          <w:iCs/>
          <w:sz w:val="28"/>
          <w:szCs w:val="28"/>
        </w:rPr>
        <w:br w:type="textWrapping"/>
      </w:r>
    </w:p>
    <w:p w14:paraId="10E2DA1B">
      <w:pPr>
        <w:adjustRightInd/>
        <w:spacing w:line="240" w:lineRule="auto"/>
        <w:jc w:val="center"/>
        <w:rPr>
          <w:rFonts w:hint="eastAsia" w:ascii="宋体" w:hAnsi="宋体" w:eastAsia="仿宋_GB2312"/>
          <w:i/>
          <w:iCs/>
          <w:sz w:val="28"/>
          <w:szCs w:val="28"/>
        </w:rPr>
      </w:pPr>
    </w:p>
    <w:p w14:paraId="69D60AC2">
      <w:pPr>
        <w:adjustRightInd/>
        <w:spacing w:line="240" w:lineRule="auto"/>
        <w:jc w:val="center"/>
        <w:rPr>
          <w:rFonts w:hint="eastAsia" w:ascii="宋体" w:hAnsi="宋体" w:eastAsia="仿宋_GB2312"/>
          <w:i/>
          <w:iCs/>
          <w:sz w:val="28"/>
          <w:szCs w:val="28"/>
        </w:rPr>
      </w:pPr>
    </w:p>
    <w:p w14:paraId="5367A338">
      <w:pPr>
        <w:adjustRightInd/>
        <w:spacing w:line="240" w:lineRule="auto"/>
        <w:jc w:val="center"/>
        <w:rPr>
          <w:rFonts w:hint="eastAsia" w:ascii="宋体" w:hAnsi="宋体" w:eastAsia="仿宋_GB2312"/>
          <w:i/>
          <w:iCs/>
          <w:sz w:val="28"/>
          <w:szCs w:val="28"/>
        </w:rPr>
      </w:pPr>
    </w:p>
    <w:p w14:paraId="49ED8704">
      <w:pPr>
        <w:adjustRightInd/>
        <w:spacing w:line="240" w:lineRule="auto"/>
        <w:jc w:val="center"/>
        <w:rPr>
          <w:rFonts w:hint="eastAsia" w:ascii="宋体" w:hAnsi="宋体" w:eastAsia="仿宋_GB2312"/>
          <w:i/>
          <w:iCs/>
          <w:sz w:val="28"/>
          <w:szCs w:val="28"/>
        </w:rPr>
      </w:pPr>
    </w:p>
    <w:p w14:paraId="38617EF8">
      <w:pPr>
        <w:adjustRightInd/>
        <w:spacing w:line="240" w:lineRule="auto"/>
        <w:jc w:val="center"/>
        <w:rPr>
          <w:rFonts w:hint="eastAsia" w:ascii="宋体" w:hAnsi="宋体" w:eastAsia="仿宋_GB2312"/>
          <w:i/>
          <w:iCs/>
          <w:sz w:val="28"/>
          <w:szCs w:val="28"/>
        </w:rPr>
      </w:pPr>
    </w:p>
    <w:p w14:paraId="0F50B3C2">
      <w:pPr>
        <w:adjustRightInd/>
        <w:spacing w:line="240" w:lineRule="auto"/>
        <w:rPr>
          <w:rFonts w:hint="eastAsia" w:ascii="宋体" w:hAnsi="宋体" w:eastAsia="仿宋_GB2312"/>
          <w:sz w:val="28"/>
          <w:szCs w:val="28"/>
        </w:rPr>
      </w:pPr>
    </w:p>
    <w:p w14:paraId="260CCDC7">
      <w:pPr>
        <w:spacing w:after="120" w:line="560" w:lineRule="exact"/>
        <w:ind w:firstLine="640" w:firstLineChars="200"/>
        <w:rPr>
          <w:rFonts w:hint="eastAsia" w:ascii="宋体" w:hAnsi="宋体" w:eastAsia="方正仿宋_GBK"/>
          <w:sz w:val="32"/>
          <w:szCs w:val="22"/>
        </w:rPr>
      </w:pPr>
    </w:p>
    <w:p w14:paraId="543F1CE4">
      <w:pPr>
        <w:snapToGrid w:val="0"/>
        <w:spacing w:line="240" w:lineRule="auto"/>
        <w:jc w:val="center"/>
        <w:rPr>
          <w:rFonts w:hint="eastAsia" w:ascii="宋体" w:hAnsi="宋体" w:eastAsia="仿宋_GB2312" w:cs="仿宋_GB2312"/>
          <w:sz w:val="32"/>
          <w:szCs w:val="32"/>
        </w:rPr>
      </w:pPr>
      <w:r>
        <w:rPr>
          <w:rFonts w:hint="eastAsia" w:ascii="宋体" w:hAnsi="宋体" w:eastAsia="仿宋_GB2312" w:cs="仿宋_GB2312"/>
          <w:sz w:val="32"/>
          <w:szCs w:val="32"/>
        </w:rPr>
        <w:t>标准编制组</w:t>
      </w:r>
    </w:p>
    <w:p w14:paraId="14442941">
      <w:pPr>
        <w:adjustRightInd/>
        <w:spacing w:line="240" w:lineRule="auto"/>
        <w:jc w:val="center"/>
        <w:rPr>
          <w:rFonts w:hint="eastAsia" w:ascii="宋体" w:hAnsi="宋体" w:eastAsia="方正小标宋_GBK" w:cs="方正小标宋_GBK"/>
          <w:sz w:val="44"/>
          <w:szCs w:val="44"/>
        </w:rPr>
      </w:pPr>
      <w:r>
        <w:rPr>
          <w:rFonts w:hint="eastAsia" w:ascii="宋体" w:hAnsi="宋体" w:eastAsia="仿宋_GB2312" w:cs="仿宋_GB2312"/>
          <w:sz w:val="32"/>
          <w:szCs w:val="32"/>
        </w:rPr>
        <w:t>2024年10月</w:t>
      </w:r>
      <w:r>
        <w:rPr>
          <w:rFonts w:hint="eastAsia" w:ascii="宋体" w:hAnsi="宋体" w:cs="仿宋_GB2312"/>
          <w:sz w:val="32"/>
          <w:szCs w:val="32"/>
        </w:rPr>
        <w:br w:type="page"/>
      </w:r>
      <w:r>
        <w:rPr>
          <w:rFonts w:hint="eastAsia" w:ascii="宋体" w:hAnsi="宋体" w:eastAsia="方正小标宋_GBK" w:cs="方正小标宋_GBK"/>
          <w:sz w:val="44"/>
          <w:szCs w:val="44"/>
        </w:rPr>
        <w:t>说 明</w:t>
      </w:r>
    </w:p>
    <w:p w14:paraId="15EF4E99">
      <w:pPr>
        <w:adjustRightInd/>
        <w:spacing w:line="360" w:lineRule="auto"/>
        <w:rPr>
          <w:rFonts w:hint="eastAsia" w:ascii="宋体" w:hAnsi="宋体" w:eastAsia="仿宋_GB2312"/>
          <w:sz w:val="24"/>
        </w:rPr>
      </w:pPr>
      <w:r>
        <w:rPr>
          <w:rFonts w:hint="eastAsia" w:ascii="宋体" w:hAnsi="宋体" w:eastAsia="仿宋_GB2312"/>
          <w:sz w:val="24"/>
        </w:rPr>
        <w:t xml:space="preserve">    1．标准编制说明的封面</w:t>
      </w:r>
    </w:p>
    <w:p w14:paraId="18A70EF6">
      <w:pPr>
        <w:adjustRightInd/>
        <w:spacing w:line="360" w:lineRule="auto"/>
        <w:ind w:firstLine="480" w:firstLineChars="200"/>
        <w:rPr>
          <w:rFonts w:hint="eastAsia" w:ascii="宋体" w:hAnsi="宋体" w:eastAsia="仿宋_GB2312"/>
          <w:sz w:val="24"/>
        </w:rPr>
      </w:pPr>
      <w:r>
        <w:rPr>
          <w:rFonts w:hint="eastAsia" w:ascii="宋体" w:hAnsi="宋体" w:eastAsia="仿宋_GB2312"/>
          <w:sz w:val="24"/>
        </w:rPr>
        <w:t>（1）标准名称。应在封面靠上居中位置，与标准稿名称保持一致。字体字号为方正小标宋二号。</w:t>
      </w:r>
    </w:p>
    <w:p w14:paraId="5BF5C2DD">
      <w:pPr>
        <w:adjustRightInd/>
        <w:spacing w:line="360" w:lineRule="auto"/>
        <w:ind w:firstLine="480" w:firstLineChars="200"/>
        <w:rPr>
          <w:rFonts w:hint="eastAsia" w:ascii="宋体" w:hAnsi="宋体" w:eastAsia="仿宋_GB2312"/>
          <w:sz w:val="24"/>
        </w:rPr>
      </w:pPr>
      <w:r>
        <w:rPr>
          <w:rFonts w:hint="eastAsia" w:ascii="宋体" w:hAnsi="宋体" w:eastAsia="仿宋_GB2312"/>
          <w:sz w:val="24"/>
        </w:rPr>
        <w:t>（2）标准文稿版次。在标准名称下方“征求意见稿、送审稿、报批稿”前的方框涂选其一，例如“</w:t>
      </w:r>
      <w:r>
        <w:rPr>
          <w:rFonts w:hint="eastAsia" w:ascii="宋体" w:hAnsi="宋体" w:eastAsia="东文宋体" w:cs="东文宋体"/>
          <w:sz w:val="24"/>
        </w:rPr>
        <w:t>■</w:t>
      </w:r>
      <w:r>
        <w:rPr>
          <w:rFonts w:hint="eastAsia" w:ascii="宋体" w:hAnsi="宋体" w:eastAsia="仿宋_GB2312"/>
          <w:sz w:val="24"/>
        </w:rPr>
        <w:t>征求意见稿”。字体字号为仿宋三号。</w:t>
      </w:r>
    </w:p>
    <w:p w14:paraId="7E418DC5">
      <w:pPr>
        <w:adjustRightInd/>
        <w:spacing w:line="360" w:lineRule="auto"/>
        <w:ind w:firstLine="480" w:firstLineChars="200"/>
        <w:rPr>
          <w:rFonts w:hint="eastAsia" w:ascii="宋体" w:hAnsi="宋体" w:eastAsia="仿宋_GB2312"/>
          <w:sz w:val="24"/>
        </w:rPr>
      </w:pPr>
      <w:r>
        <w:rPr>
          <w:rFonts w:hint="eastAsia" w:ascii="宋体" w:hAnsi="宋体" w:eastAsia="仿宋_GB2312"/>
          <w:sz w:val="24"/>
        </w:rPr>
        <w:t>（3）标准编制组。在封面靠下居中位置。字体字号为仿宋三号。</w:t>
      </w:r>
    </w:p>
    <w:p w14:paraId="33E8B794">
      <w:pPr>
        <w:adjustRightInd/>
        <w:spacing w:line="360" w:lineRule="auto"/>
        <w:ind w:firstLine="480" w:firstLineChars="200"/>
        <w:rPr>
          <w:rFonts w:hint="eastAsia" w:ascii="宋体" w:hAnsi="宋体" w:eastAsia="仿宋_GB2312"/>
          <w:sz w:val="24"/>
        </w:rPr>
      </w:pPr>
      <w:r>
        <w:rPr>
          <w:rFonts w:hint="eastAsia" w:ascii="宋体" w:hAnsi="宋体" w:eastAsia="仿宋_GB2312"/>
          <w:sz w:val="24"/>
        </w:rPr>
        <w:t>（4）编制日期。编制日期为本阶段完成的日期，以数字格式书写，字体为宋体，字号为三号。如：“2020</w:t>
      </w:r>
      <w:r>
        <w:rPr>
          <w:rFonts w:hint="eastAsia" w:ascii="宋体" w:hAnsi="宋体" w:eastAsia="仿宋_GB2312" w:cs="仿宋_GB2312"/>
          <w:sz w:val="24"/>
        </w:rPr>
        <w:t>年3月30日”</w:t>
      </w:r>
      <w:r>
        <w:rPr>
          <w:rFonts w:hint="eastAsia" w:ascii="宋体" w:hAnsi="宋体" w:eastAsia="仿宋_GB2312"/>
          <w:sz w:val="24"/>
        </w:rPr>
        <w:t>。</w:t>
      </w:r>
    </w:p>
    <w:p w14:paraId="01D769BC">
      <w:pPr>
        <w:adjustRightInd/>
        <w:spacing w:line="360" w:lineRule="auto"/>
        <w:rPr>
          <w:rFonts w:hint="eastAsia" w:ascii="宋体" w:hAnsi="宋体" w:eastAsia="仿宋_GB2312"/>
          <w:sz w:val="24"/>
        </w:rPr>
      </w:pPr>
      <w:r>
        <w:rPr>
          <w:rFonts w:hint="eastAsia" w:ascii="宋体" w:hAnsi="宋体" w:eastAsia="仿宋_GB2312"/>
          <w:sz w:val="24"/>
        </w:rPr>
        <w:t xml:space="preserve">    2．标准编制说明的正文</w:t>
      </w:r>
    </w:p>
    <w:p w14:paraId="3FFFF0EB">
      <w:pPr>
        <w:adjustRightInd/>
        <w:spacing w:line="360" w:lineRule="auto"/>
        <w:ind w:firstLine="480" w:firstLineChars="200"/>
        <w:rPr>
          <w:rFonts w:hint="eastAsia" w:ascii="宋体" w:hAnsi="宋体" w:eastAsia="仿宋_GB2312"/>
          <w:sz w:val="24"/>
        </w:rPr>
      </w:pPr>
      <w:r>
        <w:rPr>
          <w:rFonts w:hint="eastAsia" w:ascii="宋体" w:hAnsi="宋体" w:eastAsia="仿宋_GB2312"/>
          <w:sz w:val="24"/>
        </w:rPr>
        <w:t>（1）正文页边距为上3cm、下</w:t>
      </w:r>
      <w:r>
        <w:rPr>
          <w:rFonts w:ascii="宋体" w:hAnsi="宋体" w:eastAsia="仿宋_GB2312"/>
          <w:sz w:val="24"/>
        </w:rPr>
        <w:t>2.6</w:t>
      </w:r>
      <w:r>
        <w:rPr>
          <w:rFonts w:hint="eastAsia" w:ascii="宋体" w:hAnsi="宋体" w:eastAsia="仿宋_GB2312"/>
          <w:sz w:val="24"/>
        </w:rPr>
        <w:t>cm、左2.8cm、右2.6cm。</w:t>
      </w:r>
    </w:p>
    <w:p w14:paraId="58CA33E0">
      <w:pPr>
        <w:adjustRightInd/>
        <w:spacing w:line="360" w:lineRule="auto"/>
        <w:ind w:firstLine="480" w:firstLineChars="200"/>
        <w:rPr>
          <w:rFonts w:hint="eastAsia" w:ascii="宋体" w:hAnsi="宋体" w:eastAsia="仿宋_GB2312"/>
          <w:sz w:val="24"/>
        </w:rPr>
      </w:pPr>
      <w:r>
        <w:rPr>
          <w:rFonts w:hint="eastAsia" w:ascii="宋体" w:hAnsi="宋体" w:eastAsia="仿宋_GB2312"/>
          <w:sz w:val="24"/>
        </w:rPr>
        <w:t>（2）正文标题，一级标题用黑体三号字，二级标题用楷体三号字不加粗。三级、四级标题用仿宋GB-2312三号字不加粗。文中结构层次序数为“一、”“（一）”“1.”“（1）”标注。</w:t>
      </w:r>
    </w:p>
    <w:p w14:paraId="6034F44F">
      <w:pPr>
        <w:adjustRightInd/>
        <w:spacing w:line="360" w:lineRule="auto"/>
        <w:ind w:firstLine="480" w:firstLineChars="200"/>
        <w:rPr>
          <w:rFonts w:hint="eastAsia" w:ascii="宋体" w:hAnsi="宋体" w:eastAsia="仿宋_GB2312"/>
          <w:sz w:val="24"/>
        </w:rPr>
      </w:pPr>
      <w:r>
        <w:rPr>
          <w:rFonts w:hint="eastAsia" w:ascii="宋体" w:hAnsi="宋体" w:eastAsia="仿宋_GB2312"/>
          <w:sz w:val="24"/>
        </w:rPr>
        <w:t>（3）正文中文字体字号为仿宋GB-2312三号字，数字、字母等西文字体为宋体三号字，段落行距为28磅，首行缩进2字符。</w:t>
      </w:r>
    </w:p>
    <w:p w14:paraId="6A8D7607">
      <w:pPr>
        <w:adjustRightInd/>
        <w:spacing w:line="360" w:lineRule="auto"/>
        <w:rPr>
          <w:rFonts w:hint="eastAsia" w:ascii="宋体" w:hAnsi="宋体" w:eastAsia="仿宋_GB2312"/>
          <w:sz w:val="24"/>
        </w:rPr>
      </w:pPr>
      <w:r>
        <w:rPr>
          <w:rFonts w:hint="eastAsia" w:ascii="宋体" w:hAnsi="宋体" w:eastAsia="仿宋_GB2312"/>
          <w:sz w:val="24"/>
        </w:rPr>
        <w:t xml:space="preserve">    3.编制说明的内容</w:t>
      </w:r>
    </w:p>
    <w:p w14:paraId="4FF5E9FF">
      <w:pPr>
        <w:widowControl/>
        <w:adjustRightInd/>
        <w:spacing w:line="360" w:lineRule="auto"/>
        <w:ind w:firstLine="480"/>
        <w:rPr>
          <w:rFonts w:hint="eastAsia" w:ascii="宋体" w:hAnsi="宋体" w:eastAsia="仿宋_GB2312"/>
          <w:sz w:val="24"/>
        </w:rPr>
      </w:pPr>
      <w:r>
        <w:rPr>
          <w:rFonts w:hint="eastAsia" w:ascii="宋体" w:hAnsi="宋体" w:eastAsia="仿宋_GB2312"/>
          <w:sz w:val="24"/>
        </w:rPr>
        <w:t>（1）应按照格式要求逐条说明，不涉及的填“无”。</w:t>
      </w:r>
    </w:p>
    <w:p w14:paraId="281EB45B">
      <w:pPr>
        <w:widowControl/>
        <w:adjustRightInd/>
        <w:spacing w:line="360" w:lineRule="auto"/>
        <w:ind w:firstLine="480"/>
        <w:rPr>
          <w:rFonts w:hint="eastAsia" w:ascii="宋体" w:hAnsi="宋体" w:eastAsia="仿宋_GB2312"/>
          <w:sz w:val="24"/>
        </w:rPr>
      </w:pPr>
      <w:r>
        <w:rPr>
          <w:rFonts w:hint="eastAsia" w:ascii="宋体" w:hAnsi="宋体" w:eastAsia="仿宋_GB2312"/>
          <w:sz w:val="24"/>
        </w:rPr>
        <w:t>（2）应根据工作进度不断补充完善，工作过程有连续性。</w:t>
      </w:r>
    </w:p>
    <w:p w14:paraId="3CF9BCEF">
      <w:pPr>
        <w:widowControl/>
        <w:adjustRightInd/>
        <w:spacing w:line="360" w:lineRule="auto"/>
        <w:ind w:firstLine="480"/>
        <w:rPr>
          <w:rFonts w:hint="eastAsia" w:ascii="宋体" w:hAnsi="宋体" w:eastAsia="仿宋_GB2312"/>
          <w:sz w:val="24"/>
        </w:rPr>
      </w:pPr>
      <w:r>
        <w:rPr>
          <w:rFonts w:hint="eastAsia" w:ascii="宋体" w:hAnsi="宋体" w:eastAsia="仿宋_GB2312"/>
          <w:sz w:val="24"/>
        </w:rPr>
        <w:t>（3）编制说明不是对标准内容的复制。</w:t>
      </w:r>
    </w:p>
    <w:p w14:paraId="53D1E74D">
      <w:pPr>
        <w:adjustRightInd/>
        <w:spacing w:line="360" w:lineRule="auto"/>
        <w:ind w:firstLine="480" w:firstLineChars="200"/>
        <w:rPr>
          <w:rFonts w:hint="eastAsia" w:ascii="宋体" w:hAnsi="宋体" w:eastAsia="仿宋_GB2312"/>
          <w:sz w:val="24"/>
        </w:rPr>
      </w:pPr>
      <w:r>
        <w:rPr>
          <w:rFonts w:hint="eastAsia" w:ascii="宋体" w:hAnsi="宋体" w:eastAsia="仿宋_GB2312"/>
          <w:sz w:val="24"/>
        </w:rPr>
        <w:t>（4）应关注强制性标准的依据、修订标准的主要技术内容比对、标准实施过渡期、强制性标准实施政策等重要内容的编写，详见下文模板。</w:t>
      </w:r>
    </w:p>
    <w:p w14:paraId="36A363F1">
      <w:pPr>
        <w:widowControl/>
        <w:adjustRightInd/>
        <w:spacing w:line="360" w:lineRule="auto"/>
        <w:rPr>
          <w:rFonts w:hint="eastAsia" w:ascii="宋体" w:hAnsi="宋体" w:eastAsia="仿宋_GB2312"/>
          <w:sz w:val="24"/>
        </w:rPr>
      </w:pPr>
      <w:r>
        <w:rPr>
          <w:rFonts w:hint="eastAsia" w:ascii="宋体" w:hAnsi="宋体" w:eastAsia="仿宋_GB2312"/>
          <w:sz w:val="24"/>
        </w:rPr>
        <w:t xml:space="preserve">    4.其他</w:t>
      </w:r>
    </w:p>
    <w:p w14:paraId="353DEEC4">
      <w:pPr>
        <w:widowControl/>
        <w:adjustRightInd/>
        <w:spacing w:line="360" w:lineRule="auto"/>
        <w:ind w:firstLine="480"/>
        <w:rPr>
          <w:rFonts w:hint="eastAsia" w:ascii="宋体" w:hAnsi="宋体" w:eastAsia="仿宋_GB2312"/>
          <w:sz w:val="24"/>
        </w:rPr>
      </w:pPr>
      <w:r>
        <w:rPr>
          <w:rFonts w:hint="eastAsia" w:ascii="宋体" w:hAnsi="宋体" w:eastAsia="仿宋_GB2312"/>
          <w:sz w:val="24"/>
        </w:rPr>
        <w:t>（1）编制说明内容模板中的斜体文字内容为参考，正式提交后应删除。</w:t>
      </w:r>
    </w:p>
    <w:p w14:paraId="23FDA35B">
      <w:pPr>
        <w:widowControl/>
        <w:adjustRightInd/>
        <w:spacing w:line="360" w:lineRule="auto"/>
        <w:ind w:firstLine="480"/>
        <w:rPr>
          <w:rFonts w:hint="eastAsia" w:ascii="宋体" w:hAnsi="宋体" w:eastAsia="仿宋_GB2312"/>
          <w:sz w:val="24"/>
        </w:rPr>
      </w:pPr>
      <w:r>
        <w:rPr>
          <w:rFonts w:hint="eastAsia" w:ascii="宋体" w:hAnsi="宋体" w:eastAsia="仿宋_GB2312"/>
          <w:sz w:val="24"/>
        </w:rPr>
        <w:t>（2）编制说明应正反面打印。本说明保留，打印首页反面。</w:t>
      </w:r>
    </w:p>
    <w:p w14:paraId="54709ED8">
      <w:pPr>
        <w:widowControl/>
        <w:adjustRightInd/>
        <w:spacing w:line="360" w:lineRule="auto"/>
        <w:ind w:firstLine="480"/>
        <w:rPr>
          <w:rFonts w:hint="eastAsia" w:ascii="宋体" w:hAnsi="宋体" w:eastAsia="仿宋_GB2312"/>
          <w:sz w:val="24"/>
        </w:rPr>
      </w:pPr>
      <w:r>
        <w:rPr>
          <w:rFonts w:hint="eastAsia" w:ascii="宋体" w:hAnsi="宋体" w:eastAsia="仿宋_GB2312"/>
          <w:sz w:val="24"/>
        </w:rPr>
        <w:t>（3）页码从第三页开始编，起始页码为“</w:t>
      </w:r>
      <w:r>
        <w:rPr>
          <w:rFonts w:ascii="宋体" w:hAnsi="宋体" w:eastAsia="仿宋_GB2312"/>
          <w:sz w:val="24"/>
        </w:rPr>
        <w:t>1</w:t>
      </w:r>
      <w:r>
        <w:rPr>
          <w:rFonts w:hint="eastAsia" w:ascii="宋体" w:hAnsi="宋体" w:eastAsia="仿宋_GB2312"/>
          <w:sz w:val="24"/>
        </w:rPr>
        <w:t>”，页码为五号宋体。</w:t>
      </w:r>
    </w:p>
    <w:p w14:paraId="7F8A9490">
      <w:pPr>
        <w:snapToGrid w:val="0"/>
        <w:spacing w:line="240" w:lineRule="auto"/>
        <w:jc w:val="center"/>
        <w:rPr>
          <w:rFonts w:hint="eastAsia" w:ascii="宋体" w:hAnsi="宋体"/>
          <w:b/>
          <w:sz w:val="32"/>
          <w:szCs w:val="32"/>
        </w:rPr>
      </w:pPr>
    </w:p>
    <w:p w14:paraId="02725F30">
      <w:pPr>
        <w:adjustRightInd/>
        <w:spacing w:line="240" w:lineRule="auto"/>
        <w:ind w:firstLine="1076" w:firstLineChars="336"/>
        <w:rPr>
          <w:rFonts w:hint="eastAsia" w:ascii="宋体" w:hAnsi="宋体" w:eastAsia="等线"/>
          <w:b/>
          <w:sz w:val="32"/>
          <w:szCs w:val="32"/>
        </w:rPr>
      </w:pPr>
    </w:p>
    <w:p w14:paraId="197F310E">
      <w:pPr>
        <w:snapToGrid w:val="0"/>
        <w:spacing w:line="360" w:lineRule="auto"/>
        <w:ind w:firstLine="560" w:firstLineChars="200"/>
        <w:rPr>
          <w:rFonts w:hint="eastAsia" w:ascii="宋体" w:hAnsi="宋体" w:eastAsia="仿宋"/>
          <w:sz w:val="28"/>
          <w:szCs w:val="28"/>
        </w:rPr>
        <w:sectPr>
          <w:headerReference r:id="rId18" w:type="default"/>
          <w:footerReference r:id="rId19" w:type="default"/>
          <w:pgSz w:w="11906" w:h="16838"/>
          <w:pgMar w:top="1701" w:right="1474" w:bottom="1474" w:left="1587" w:header="851" w:footer="992" w:gutter="0"/>
          <w:cols w:space="720" w:num="1"/>
          <w:docGrid w:type="lines" w:linePitch="312" w:charSpace="0"/>
        </w:sectPr>
      </w:pPr>
    </w:p>
    <w:p w14:paraId="21EC50CA">
      <w:pPr>
        <w:widowControl/>
        <w:adjustRightInd/>
        <w:spacing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一、工作简况</w:t>
      </w:r>
    </w:p>
    <w:p w14:paraId="01E40F4E">
      <w:pPr>
        <w:snapToGrid w:val="0"/>
        <w:spacing w:line="560" w:lineRule="exact"/>
        <w:ind w:firstLine="640" w:firstLineChars="200"/>
        <w:rPr>
          <w:rFonts w:hint="eastAsia" w:ascii="宋体" w:hAnsi="宋体" w:eastAsia="楷体" w:cs="楷体"/>
          <w:sz w:val="32"/>
          <w:szCs w:val="32"/>
        </w:rPr>
      </w:pPr>
      <w:r>
        <w:rPr>
          <w:rFonts w:hint="eastAsia" w:ascii="宋体" w:hAnsi="宋体" w:eastAsia="楷体" w:cs="楷体"/>
          <w:sz w:val="32"/>
          <w:szCs w:val="32"/>
        </w:rPr>
        <w:t>（一）任务来源</w:t>
      </w:r>
    </w:p>
    <w:p w14:paraId="252BE679">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《“十四五”国家应急体系规划》（国发</w:t>
      </w:r>
      <w:r>
        <w:rPr>
          <w:rFonts w:hint="eastAsia" w:ascii="宋体" w:hAnsi="宋体" w:cs="方正仿宋_GBK"/>
          <w:sz w:val="32"/>
          <w:szCs w:val="32"/>
        </w:rPr>
        <w:t>〔2021〕36</w:t>
      </w:r>
      <w:r>
        <w:rPr>
          <w:rFonts w:hint="eastAsia" w:ascii="宋体" w:hAnsi="宋体" w:eastAsia="仿宋_GB2312" w:cs="方正仿宋_GBK"/>
          <w:sz w:val="32"/>
          <w:szCs w:val="32"/>
        </w:rPr>
        <w:t>号）提出了“加快预案制修订。制定突发事件应急预案编制指南，加强预案制修订过程中的风险评估、情景构建和应急资源调查”“编制城市公共安全风险评估、重大风险评估和情景构建等相关技术标准”等相关要求。</w:t>
      </w:r>
    </w:p>
    <w:p w14:paraId="20358036">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cs="方正仿宋_GBK"/>
          <w:sz w:val="32"/>
          <w:szCs w:val="32"/>
        </w:rPr>
        <w:t>2024</w:t>
      </w:r>
      <w:r>
        <w:rPr>
          <w:rFonts w:hint="eastAsia" w:ascii="宋体" w:hAnsi="宋体" w:eastAsia="仿宋_GB2312" w:cs="方正仿宋_GBK"/>
          <w:sz w:val="32"/>
          <w:szCs w:val="32"/>
        </w:rPr>
        <w:t>年</w:t>
      </w:r>
      <w:r>
        <w:rPr>
          <w:rFonts w:hint="eastAsia" w:ascii="宋体" w:hAnsi="宋体" w:cs="方正仿宋_GBK"/>
          <w:sz w:val="32"/>
          <w:szCs w:val="32"/>
        </w:rPr>
        <w:t>3</w:t>
      </w:r>
      <w:r>
        <w:rPr>
          <w:rFonts w:hint="eastAsia" w:ascii="宋体" w:hAnsi="宋体" w:eastAsia="仿宋_GB2312" w:cs="方正仿宋_GBK"/>
          <w:sz w:val="32"/>
          <w:szCs w:val="32"/>
        </w:rPr>
        <w:t>月</w:t>
      </w:r>
      <w:r>
        <w:rPr>
          <w:rFonts w:hint="eastAsia" w:ascii="宋体" w:hAnsi="宋体" w:cs="方正仿宋_GBK"/>
          <w:sz w:val="32"/>
          <w:szCs w:val="32"/>
        </w:rPr>
        <w:t>25</w:t>
      </w:r>
      <w:r>
        <w:rPr>
          <w:rFonts w:hint="eastAsia" w:ascii="宋体" w:hAnsi="宋体" w:eastAsia="仿宋_GB2312" w:cs="方正仿宋_GBK"/>
          <w:sz w:val="32"/>
          <w:szCs w:val="32"/>
        </w:rPr>
        <w:t>日，国家标准化管理委员会下达了</w:t>
      </w:r>
      <w:r>
        <w:rPr>
          <w:rFonts w:hint="eastAsia" w:ascii="宋体" w:hAnsi="宋体" w:cs="方正仿宋_GBK"/>
          <w:sz w:val="32"/>
          <w:szCs w:val="32"/>
        </w:rPr>
        <w:t>2024</w:t>
      </w:r>
      <w:r>
        <w:rPr>
          <w:rFonts w:hint="eastAsia" w:ascii="宋体" w:hAnsi="宋体" w:eastAsia="仿宋_GB2312" w:cs="方正仿宋_GBK"/>
          <w:sz w:val="32"/>
          <w:szCs w:val="32"/>
        </w:rPr>
        <w:t>年第一批推荐性国家标准计划（国标委发</w:t>
      </w:r>
      <w:r>
        <w:rPr>
          <w:rFonts w:hint="eastAsia" w:ascii="宋体" w:hAnsi="宋体" w:cs="方正仿宋_GBK"/>
          <w:sz w:val="32"/>
          <w:szCs w:val="32"/>
        </w:rPr>
        <w:t>〔2024〕16</w:t>
      </w:r>
      <w:r>
        <w:rPr>
          <w:rFonts w:hint="eastAsia" w:ascii="宋体" w:hAnsi="宋体" w:eastAsia="仿宋_GB2312" w:cs="方正仿宋_GBK"/>
          <w:sz w:val="32"/>
          <w:szCs w:val="32"/>
        </w:rPr>
        <w:t>号），国家标准《应急预案情景构建方法》正式立项，计划号为：</w:t>
      </w:r>
      <w:r>
        <w:rPr>
          <w:rFonts w:hint="eastAsia" w:ascii="宋体" w:hAnsi="宋体" w:cs="方正仿宋_GBK"/>
          <w:sz w:val="32"/>
          <w:szCs w:val="32"/>
        </w:rPr>
        <w:t>20240334-T-450</w:t>
      </w:r>
      <w:r>
        <w:rPr>
          <w:rFonts w:hint="eastAsia" w:ascii="宋体" w:hAnsi="宋体" w:eastAsia="仿宋_GB2312" w:cs="方正仿宋_GBK"/>
          <w:sz w:val="32"/>
          <w:szCs w:val="32"/>
        </w:rPr>
        <w:t>。标准提出和归口单位为全国应急管理与减灾救灾标准化技术委员会（</w:t>
      </w:r>
      <w:r>
        <w:rPr>
          <w:rFonts w:hint="eastAsia" w:ascii="宋体" w:hAnsi="宋体" w:cs="方正仿宋_GBK"/>
          <w:sz w:val="32"/>
          <w:szCs w:val="32"/>
        </w:rPr>
        <w:t>SAC/TC 307</w:t>
      </w:r>
      <w:r>
        <w:rPr>
          <w:rFonts w:hint="eastAsia" w:ascii="宋体" w:hAnsi="宋体" w:eastAsia="仿宋_GB2312" w:cs="方正仿宋_GBK"/>
          <w:sz w:val="32"/>
          <w:szCs w:val="32"/>
        </w:rPr>
        <w:t>）。</w:t>
      </w:r>
    </w:p>
    <w:p w14:paraId="3F845057">
      <w:pPr>
        <w:snapToGrid w:val="0"/>
        <w:spacing w:line="560" w:lineRule="exact"/>
        <w:ind w:firstLine="640" w:firstLineChars="200"/>
        <w:rPr>
          <w:rFonts w:hint="eastAsia" w:ascii="宋体" w:hAnsi="宋体" w:eastAsia="楷体" w:cs="楷体"/>
          <w:sz w:val="32"/>
          <w:szCs w:val="32"/>
        </w:rPr>
      </w:pPr>
      <w:r>
        <w:rPr>
          <w:rFonts w:hint="eastAsia" w:ascii="宋体" w:hAnsi="宋体" w:eastAsia="楷体" w:cs="楷体"/>
          <w:sz w:val="32"/>
          <w:szCs w:val="32"/>
        </w:rPr>
        <w:t>（二）制定背景</w:t>
      </w:r>
    </w:p>
    <w:p w14:paraId="520AE056">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应急预案是应急管理工作的重要抓手，加强应急预案体系建设是推进应急管理体系和能力现代化的重要举措，党中央、国务院高度重视应急预案工作。</w:t>
      </w:r>
      <w:r>
        <w:rPr>
          <w:rFonts w:hint="eastAsia" w:ascii="宋体" w:hAnsi="宋体" w:cs="方正仿宋_GBK"/>
          <w:sz w:val="32"/>
          <w:szCs w:val="32"/>
        </w:rPr>
        <w:t>2019</w:t>
      </w:r>
      <w:r>
        <w:rPr>
          <w:rFonts w:hint="eastAsia" w:ascii="宋体" w:hAnsi="宋体" w:eastAsia="仿宋_GB2312" w:cs="方正仿宋_GBK"/>
          <w:sz w:val="32"/>
          <w:szCs w:val="32"/>
        </w:rPr>
        <w:t>年</w:t>
      </w:r>
      <w:r>
        <w:rPr>
          <w:rFonts w:hint="eastAsia" w:ascii="宋体" w:hAnsi="宋体" w:cs="方正仿宋_GBK"/>
          <w:sz w:val="32"/>
          <w:szCs w:val="32"/>
        </w:rPr>
        <w:t>11</w:t>
      </w:r>
      <w:r>
        <w:rPr>
          <w:rFonts w:hint="eastAsia" w:ascii="宋体" w:hAnsi="宋体" w:eastAsia="仿宋_GB2312" w:cs="方正仿宋_GBK"/>
          <w:sz w:val="32"/>
          <w:szCs w:val="32"/>
        </w:rPr>
        <w:t>月，在中央政治局第十九次集体学习时，习近平总书记强调，要加强应急预案管理，健全应急预案体系，落实各环节责任和措施。</w:t>
      </w:r>
    </w:p>
    <w:p w14:paraId="064D2F11">
      <w:pPr>
        <w:snapToGrid w:val="0"/>
        <w:spacing w:line="560" w:lineRule="exact"/>
        <w:ind w:firstLine="640" w:firstLineChars="200"/>
        <w:rPr>
          <w:rFonts w:hint="eastAsia" w:ascii="宋体" w:hAnsi="宋体" w:eastAsia="仿宋_GB2312"/>
          <w:sz w:val="32"/>
          <w:szCs w:val="22"/>
        </w:rPr>
      </w:pPr>
      <w:r>
        <w:rPr>
          <w:rFonts w:hint="eastAsia" w:ascii="宋体" w:hAnsi="宋体" w:eastAsia="仿宋_GB2312"/>
          <w:sz w:val="32"/>
          <w:szCs w:val="22"/>
        </w:rPr>
        <w:t>情景构建对于应急预案编制和应急演练等一系列应急管理工作具有不可或缺的支撑和指导作用。《“十四五”国家应急体系规划》（国发</w:t>
      </w:r>
      <w:r>
        <w:rPr>
          <w:rFonts w:hint="eastAsia" w:ascii="宋体" w:hAnsi="宋体"/>
          <w:sz w:val="32"/>
          <w:szCs w:val="22"/>
        </w:rPr>
        <w:t>〔2021〕36</w:t>
      </w:r>
      <w:r>
        <w:rPr>
          <w:rFonts w:hint="eastAsia" w:ascii="宋体" w:hAnsi="宋体" w:eastAsia="仿宋_GB2312"/>
          <w:sz w:val="32"/>
          <w:szCs w:val="22"/>
        </w:rPr>
        <w:t>号）提出了“加快预案制修订。制定突发事件应急预案编制指南，加强预案制修订过程中的风险评估、情景构建和应急资源调查”“编制城市公共安全风险评估、重大风险评估和情景构建等相关技术标准”等相关要求。情景构建能够使应急准备工作充分、到位、针对性强，全面提高我国应急准备工作的高效性和精准性，有效避免经济损失和人员伤亡，不仅是实践需求，也是国家推进应急管理体系建设的要求。</w:t>
      </w:r>
    </w:p>
    <w:p w14:paraId="5A136143">
      <w:pPr>
        <w:snapToGrid w:val="0"/>
        <w:spacing w:line="560" w:lineRule="exact"/>
        <w:ind w:firstLine="640" w:firstLineChars="200"/>
        <w:rPr>
          <w:rFonts w:hint="eastAsia" w:ascii="宋体" w:hAnsi="宋体" w:eastAsia="仿宋_GB2312"/>
          <w:sz w:val="32"/>
          <w:szCs w:val="22"/>
        </w:rPr>
      </w:pPr>
      <w:r>
        <w:rPr>
          <w:rFonts w:hint="eastAsia" w:ascii="宋体" w:hAnsi="宋体" w:eastAsia="仿宋_GB2312"/>
          <w:sz w:val="32"/>
          <w:szCs w:val="22"/>
        </w:rPr>
        <w:t>由于缺乏国家级标准，我国突发事件情景构建的基本内容、技术要求等不尽相同，导致实践中对突发事件情景的认识不够深刻，相关工作开展还不充分，对突发事件的情景设计过于简单，对突发事件最坏、最困难的极端情况考虑不足，也不能紧密结合潜在突发事件的性质和后果提出合理、适度的应急资源需求，很难以“情景”作为引领，使各项应急准备工作在目标和方向上保持一致。因此，研制情景构建标准，规范情景构建技术内容迫在眉睫。</w:t>
      </w:r>
    </w:p>
    <w:p w14:paraId="3487291F">
      <w:pPr>
        <w:snapToGrid w:val="0"/>
        <w:spacing w:line="560" w:lineRule="exact"/>
        <w:ind w:firstLine="640" w:firstLineChars="200"/>
        <w:rPr>
          <w:rFonts w:hint="eastAsia" w:ascii="宋体" w:hAnsi="宋体" w:eastAsia="仿宋_GB2312"/>
          <w:sz w:val="32"/>
          <w:szCs w:val="22"/>
        </w:rPr>
      </w:pPr>
      <w:r>
        <w:rPr>
          <w:rFonts w:hint="eastAsia" w:ascii="宋体" w:hAnsi="宋体" w:eastAsia="仿宋_GB2312"/>
          <w:sz w:val="32"/>
          <w:szCs w:val="22"/>
        </w:rPr>
        <w:t>此外，情景构建理论和方法的提出始于</w:t>
      </w:r>
      <w:r>
        <w:rPr>
          <w:rFonts w:hint="eastAsia" w:ascii="宋体" w:hAnsi="宋体"/>
          <w:sz w:val="32"/>
          <w:szCs w:val="22"/>
        </w:rPr>
        <w:t>2003</w:t>
      </w:r>
      <w:r>
        <w:rPr>
          <w:rFonts w:hint="eastAsia" w:ascii="宋体" w:hAnsi="宋体" w:eastAsia="仿宋_GB2312"/>
          <w:sz w:val="32"/>
          <w:szCs w:val="22"/>
        </w:rPr>
        <w:t>年，经过</w:t>
      </w:r>
      <w:r>
        <w:rPr>
          <w:rFonts w:hint="eastAsia" w:ascii="宋体" w:hAnsi="宋体"/>
          <w:sz w:val="32"/>
          <w:szCs w:val="22"/>
        </w:rPr>
        <w:t>20</w:t>
      </w:r>
      <w:r>
        <w:rPr>
          <w:rFonts w:hint="eastAsia" w:ascii="宋体" w:hAnsi="宋体" w:eastAsia="仿宋_GB2312"/>
          <w:sz w:val="32"/>
          <w:szCs w:val="22"/>
        </w:rPr>
        <w:t>年的研究和完善，情景构建技术已成为公共安全领域较为成熟的技术。我国开展情景构建技术研究虽然起步较晚，但随着研究领域众多学者的重视，相关的研究成果已经非常丰富，而且我国近几年来也将情景构建技术逐步应用到应急管理领域，在北京、成都、上海、深圳等多个城市及石油化工、危化品等重要行业领域开展了情景构建实践。因此，将情景构建技术进行标准化，规范相关技术和内容要求，进行全国推广和实施，当前时机已经成熟。</w:t>
      </w:r>
    </w:p>
    <w:p w14:paraId="404165AD">
      <w:pPr>
        <w:snapToGrid w:val="0"/>
        <w:spacing w:line="560" w:lineRule="exact"/>
        <w:ind w:firstLine="640" w:firstLineChars="200"/>
        <w:rPr>
          <w:rFonts w:hint="eastAsia" w:ascii="宋体" w:hAnsi="宋体" w:eastAsia="楷体" w:cs="楷体"/>
          <w:sz w:val="32"/>
          <w:szCs w:val="32"/>
        </w:rPr>
      </w:pPr>
      <w:r>
        <w:rPr>
          <w:rFonts w:hint="eastAsia" w:ascii="宋体" w:hAnsi="宋体" w:eastAsia="楷体" w:cs="楷体"/>
          <w:sz w:val="32"/>
          <w:szCs w:val="32"/>
        </w:rPr>
        <w:t>（三）起草小组人员组成及所在单位</w:t>
      </w:r>
    </w:p>
    <w:p w14:paraId="27E66867">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根据立项计划，于</w:t>
      </w:r>
      <w:r>
        <w:rPr>
          <w:rFonts w:hint="eastAsia" w:ascii="宋体" w:hAnsi="宋体" w:cs="方正仿宋_GBK"/>
          <w:sz w:val="32"/>
          <w:szCs w:val="32"/>
        </w:rPr>
        <w:t>2024</w:t>
      </w:r>
      <w:r>
        <w:rPr>
          <w:rFonts w:hint="eastAsia" w:ascii="宋体" w:hAnsi="宋体" w:eastAsia="仿宋_GB2312" w:cs="方正仿宋_GBK"/>
          <w:sz w:val="32"/>
          <w:szCs w:val="32"/>
        </w:rPr>
        <w:t>年</w:t>
      </w:r>
      <w:r>
        <w:rPr>
          <w:rFonts w:hint="eastAsia" w:ascii="宋体" w:hAnsi="宋体" w:cs="方正仿宋_GBK"/>
          <w:sz w:val="32"/>
          <w:szCs w:val="32"/>
        </w:rPr>
        <w:t>3</w:t>
      </w:r>
      <w:r>
        <w:rPr>
          <w:rFonts w:hint="eastAsia" w:ascii="宋体" w:hAnsi="宋体" w:eastAsia="仿宋_GB2312" w:cs="方正仿宋_GBK"/>
          <w:sz w:val="32"/>
          <w:szCs w:val="32"/>
        </w:rPr>
        <w:t>月成立标准起草小组，中国标准化研究院公共安全所副所长秦挺鑫牵头负责本文件的制订工作，中国标准化研究院公共安全所王皖、张超、徐凤娇、周倩、孟祥程、黄帅；中央党校（国家行政学院）王永明、邓云峰；北京市科学技术研究院城市安全与环境科学研究所姚晓晖、焦心怡、李季梅、宁利君、钱重阳、王尧；中国安全生产科学研究院时训先、陈兵、王文靖；国网山东省电力公司孙世军、朱坤双；中国矿业大学（北京）谭波；四川蜀兴优创安全科技有限公司秦培均等参加标准的具体制定工作。</w:t>
      </w:r>
    </w:p>
    <w:p w14:paraId="4D4006FE">
      <w:pPr>
        <w:snapToGrid w:val="0"/>
        <w:spacing w:line="560" w:lineRule="exact"/>
        <w:ind w:firstLine="640" w:firstLineChars="200"/>
        <w:rPr>
          <w:rFonts w:hint="eastAsia" w:ascii="宋体" w:hAnsi="宋体" w:eastAsia="楷体" w:cs="楷体"/>
          <w:sz w:val="32"/>
          <w:szCs w:val="32"/>
        </w:rPr>
      </w:pPr>
      <w:r>
        <w:rPr>
          <w:rFonts w:hint="eastAsia" w:ascii="宋体" w:hAnsi="宋体" w:eastAsia="楷体" w:cs="楷体"/>
          <w:sz w:val="32"/>
          <w:szCs w:val="32"/>
        </w:rPr>
        <w:t>（四）主要起草过程</w:t>
      </w:r>
    </w:p>
    <w:p w14:paraId="2C59145E">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（1）资料收集。</w:t>
      </w:r>
      <w:r>
        <w:rPr>
          <w:rFonts w:hint="eastAsia" w:ascii="宋体" w:hAnsi="宋体" w:cs="方正仿宋_GBK"/>
          <w:sz w:val="32"/>
          <w:szCs w:val="32"/>
        </w:rPr>
        <w:t>2024</w:t>
      </w:r>
      <w:r>
        <w:rPr>
          <w:rFonts w:hint="eastAsia" w:ascii="宋体" w:hAnsi="宋体" w:eastAsia="仿宋_GB2312" w:cs="方正仿宋_GBK"/>
          <w:sz w:val="32"/>
          <w:szCs w:val="32"/>
        </w:rPr>
        <w:t>年</w:t>
      </w:r>
      <w:r>
        <w:rPr>
          <w:rFonts w:hint="eastAsia" w:ascii="宋体" w:hAnsi="宋体" w:cs="方正仿宋_GBK"/>
          <w:sz w:val="32"/>
          <w:szCs w:val="32"/>
        </w:rPr>
        <w:t>1</w:t>
      </w:r>
      <w:r>
        <w:rPr>
          <w:rFonts w:hint="eastAsia" w:ascii="宋体" w:hAnsi="宋体" w:eastAsia="仿宋_GB2312" w:cs="方正仿宋_GBK"/>
          <w:sz w:val="32"/>
          <w:szCs w:val="32"/>
        </w:rPr>
        <w:t>月</w:t>
      </w:r>
      <w:r>
        <w:rPr>
          <w:rFonts w:hint="eastAsia" w:ascii="宋体" w:hAnsi="宋体" w:eastAsia="仿宋_GB2312" w:cs="方正仿宋_GBK"/>
          <w:sz w:val="32"/>
          <w:szCs w:val="32"/>
          <w:lang w:eastAsia="zh-CN"/>
        </w:rPr>
        <w:t>—</w:t>
      </w:r>
      <w:r>
        <w:rPr>
          <w:rFonts w:hint="eastAsia" w:ascii="宋体" w:hAnsi="宋体" w:cs="方正仿宋_GBK"/>
          <w:sz w:val="32"/>
          <w:szCs w:val="32"/>
        </w:rPr>
        <w:t>2</w:t>
      </w:r>
      <w:r>
        <w:rPr>
          <w:rFonts w:hint="eastAsia" w:ascii="宋体" w:hAnsi="宋体" w:eastAsia="仿宋_GB2312" w:cs="方正仿宋_GBK"/>
          <w:sz w:val="32"/>
          <w:szCs w:val="32"/>
        </w:rPr>
        <w:t>月，调研国内外情景构建的具体案例，分析整理应急预案和情景构建相关的法律、法规、标准及研究文献，并针对我国目前应急预案编制和情景构建存在的问题进行深入剖析。建立标准框架，召开立项论证会，提交标准立项申请。</w:t>
      </w:r>
    </w:p>
    <w:p w14:paraId="706F28AC">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（2）标准立项。</w:t>
      </w:r>
      <w:r>
        <w:rPr>
          <w:rFonts w:hint="eastAsia" w:ascii="宋体" w:hAnsi="宋体" w:cs="方正仿宋_GBK"/>
          <w:sz w:val="32"/>
          <w:szCs w:val="32"/>
        </w:rPr>
        <w:t>2024</w:t>
      </w:r>
      <w:r>
        <w:rPr>
          <w:rFonts w:hint="eastAsia" w:ascii="宋体" w:hAnsi="宋体" w:eastAsia="仿宋_GB2312" w:cs="方正仿宋_GBK"/>
          <w:sz w:val="32"/>
          <w:szCs w:val="32"/>
        </w:rPr>
        <w:t>年</w:t>
      </w:r>
      <w:r>
        <w:rPr>
          <w:rFonts w:hint="eastAsia" w:ascii="宋体" w:hAnsi="宋体" w:cs="方正仿宋_GBK"/>
          <w:sz w:val="32"/>
          <w:szCs w:val="32"/>
        </w:rPr>
        <w:t>3</w:t>
      </w:r>
      <w:r>
        <w:rPr>
          <w:rFonts w:hint="eastAsia" w:ascii="宋体" w:hAnsi="宋体" w:eastAsia="仿宋_GB2312" w:cs="方正仿宋_GBK"/>
          <w:sz w:val="32"/>
          <w:szCs w:val="32"/>
        </w:rPr>
        <w:t>月，国家标准委下达推荐性国家标准制修订计划。</w:t>
      </w:r>
    </w:p>
    <w:p w14:paraId="7378361B">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（3）标准起草。</w:t>
      </w:r>
      <w:r>
        <w:rPr>
          <w:rFonts w:hint="eastAsia" w:ascii="宋体" w:hAnsi="宋体" w:cs="方正仿宋_GBK"/>
          <w:sz w:val="32"/>
          <w:szCs w:val="32"/>
        </w:rPr>
        <w:t>2024</w:t>
      </w:r>
      <w:r>
        <w:rPr>
          <w:rFonts w:hint="eastAsia" w:ascii="宋体" w:hAnsi="宋体" w:eastAsia="仿宋_GB2312" w:cs="方正仿宋_GBK"/>
          <w:sz w:val="32"/>
          <w:szCs w:val="32"/>
        </w:rPr>
        <w:t>年</w:t>
      </w:r>
      <w:r>
        <w:rPr>
          <w:rFonts w:hint="eastAsia" w:ascii="宋体" w:hAnsi="宋体" w:cs="方正仿宋_GBK"/>
          <w:sz w:val="32"/>
          <w:szCs w:val="32"/>
        </w:rPr>
        <w:t>4</w:t>
      </w:r>
      <w:r>
        <w:rPr>
          <w:rFonts w:hint="eastAsia" w:ascii="宋体" w:hAnsi="宋体" w:eastAsia="仿宋_GB2312" w:cs="方正仿宋_GBK"/>
          <w:sz w:val="32"/>
          <w:szCs w:val="32"/>
        </w:rPr>
        <w:t>月</w:t>
      </w:r>
      <w:bookmarkStart w:id="212" w:name="_Hlk179391720"/>
      <w:r>
        <w:rPr>
          <w:rFonts w:hint="eastAsia" w:ascii="宋体" w:hAnsi="宋体" w:eastAsia="仿宋_GB2312" w:cs="方正仿宋_GBK"/>
          <w:sz w:val="32"/>
          <w:szCs w:val="32"/>
          <w:lang w:eastAsia="zh-CN"/>
        </w:rPr>
        <w:t>—</w:t>
      </w:r>
      <w:bookmarkEnd w:id="212"/>
      <w:r>
        <w:rPr>
          <w:rFonts w:hint="eastAsia" w:ascii="宋体" w:hAnsi="宋体" w:cs="方正仿宋_GBK"/>
          <w:sz w:val="32"/>
          <w:szCs w:val="32"/>
        </w:rPr>
        <w:t>6</w:t>
      </w:r>
      <w:r>
        <w:rPr>
          <w:rFonts w:hint="eastAsia" w:ascii="宋体" w:hAnsi="宋体" w:eastAsia="仿宋_GB2312" w:cs="方正仿宋_GBK"/>
          <w:sz w:val="32"/>
          <w:szCs w:val="32"/>
        </w:rPr>
        <w:t>月，成立起草小组后，启动标准起草，经过起草小组内部多次讨论，完成标准草案稿。</w:t>
      </w:r>
    </w:p>
    <w:p w14:paraId="65C0B21A">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（4）征求意见。</w:t>
      </w:r>
      <w:r>
        <w:rPr>
          <w:rFonts w:hint="eastAsia" w:ascii="宋体" w:hAnsi="宋体" w:cs="方正仿宋_GBK"/>
          <w:sz w:val="32"/>
          <w:szCs w:val="32"/>
        </w:rPr>
        <w:t>2024</w:t>
      </w:r>
      <w:r>
        <w:rPr>
          <w:rFonts w:hint="eastAsia" w:ascii="宋体" w:hAnsi="宋体" w:eastAsia="仿宋_GB2312" w:cs="方正仿宋_GBK"/>
          <w:sz w:val="32"/>
          <w:szCs w:val="32"/>
        </w:rPr>
        <w:t>年</w:t>
      </w:r>
      <w:r>
        <w:rPr>
          <w:rFonts w:hint="eastAsia" w:ascii="宋体" w:hAnsi="宋体" w:cs="方正仿宋_GBK"/>
          <w:sz w:val="32"/>
          <w:szCs w:val="32"/>
        </w:rPr>
        <w:t>7</w:t>
      </w:r>
      <w:r>
        <w:rPr>
          <w:rFonts w:hint="eastAsia" w:ascii="宋体" w:hAnsi="宋体" w:eastAsia="仿宋_GB2312" w:cs="方正仿宋_GBK"/>
          <w:sz w:val="32"/>
          <w:szCs w:val="32"/>
        </w:rPr>
        <w:t>月，工作组多次组织召开专家会议征求有关部门和专家意见，在认真听取和吸纳各方面意见基础上，修改完善形成征求意见稿。</w:t>
      </w:r>
    </w:p>
    <w:p w14:paraId="2C7D78DF">
      <w:pPr>
        <w:widowControl/>
        <w:snapToGrid w:val="0"/>
        <w:spacing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二、标准编制原则、主要技术内容及其确定依据</w:t>
      </w:r>
    </w:p>
    <w:p w14:paraId="6492CC4A">
      <w:pPr>
        <w:snapToGrid w:val="0"/>
        <w:spacing w:line="560" w:lineRule="exact"/>
        <w:ind w:firstLine="640" w:firstLineChars="200"/>
        <w:rPr>
          <w:rFonts w:hint="eastAsia" w:ascii="宋体" w:hAnsi="宋体" w:eastAsia="楷体" w:cs="楷体"/>
          <w:sz w:val="32"/>
          <w:szCs w:val="32"/>
        </w:rPr>
      </w:pPr>
      <w:r>
        <w:rPr>
          <w:rFonts w:hint="eastAsia" w:ascii="宋体" w:hAnsi="宋体" w:eastAsia="楷体" w:cs="楷体"/>
          <w:sz w:val="32"/>
          <w:szCs w:val="32"/>
        </w:rPr>
        <w:t>（一）标准编制原则</w:t>
      </w:r>
    </w:p>
    <w:p w14:paraId="6EB42572">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根据《中华人民共和国标准化法》《国家标准管理办法》等国家标准化的有关法律法规要求，《应急预案情景构建方法》标准的制定遵循了以下原则：</w:t>
      </w:r>
    </w:p>
    <w:p w14:paraId="100D7C34">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1.符合相关法律法规的原则</w:t>
      </w:r>
    </w:p>
    <w:p w14:paraId="70629F0B">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本标准制定过程中，一方面依托于国内外情景构建技术标准中的先进内容，另一方面符合《中华人民共和国突发事件应对法》《突发事件应急预案管理办法》（国办发</w:t>
      </w:r>
      <w:r>
        <w:rPr>
          <w:rFonts w:hint="eastAsia" w:ascii="宋体" w:hAnsi="宋体" w:cs="方正仿宋_GBK"/>
          <w:sz w:val="32"/>
          <w:szCs w:val="32"/>
        </w:rPr>
        <w:t>〔2024〕5</w:t>
      </w:r>
      <w:r>
        <w:rPr>
          <w:rFonts w:hint="eastAsia" w:ascii="宋体" w:hAnsi="宋体" w:eastAsia="仿宋_GB2312" w:cs="方正仿宋_GBK"/>
          <w:sz w:val="32"/>
          <w:szCs w:val="32"/>
        </w:rPr>
        <w:t>号）等国家有关法律法规和方针、政策。</w:t>
      </w:r>
    </w:p>
    <w:p w14:paraId="127C6621">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2.体现普适性、科学性和先进性，注重可操作性的原则</w:t>
      </w:r>
    </w:p>
    <w:p w14:paraId="4966C0A7">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本标准提出的情景构建方法建立在大量科学、先进理论技术研究的基础上，是一种普适的方法，所有组织在编制各级应急预案时均可参照使用。另一方面，考虑各级组织能力和面临的风险情况各异，组织可以参照标准，根据预案的具体需求定制化设计情景构建方法。</w:t>
      </w:r>
    </w:p>
    <w:p w14:paraId="05F99725">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3.保持与其他标准、规范衔接和配套的原则</w:t>
      </w:r>
    </w:p>
    <w:p w14:paraId="53281D10">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标准的编制充分考虑并保持与国家相关标准、规范的整体协调、衔接和配套。</w:t>
      </w:r>
    </w:p>
    <w:p w14:paraId="44EFD89C">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4.按规范化要求编写的原则</w:t>
      </w:r>
    </w:p>
    <w:p w14:paraId="4055C4CB">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在编写格式及标准用语上，按照国家标准《标准化工作导则 第1部分：标准化文件的结构和起草规则》（</w:t>
      </w:r>
      <w:r>
        <w:rPr>
          <w:rFonts w:hint="eastAsia" w:ascii="宋体" w:hAnsi="宋体" w:cs="方正仿宋_GBK"/>
          <w:sz w:val="32"/>
          <w:szCs w:val="32"/>
        </w:rPr>
        <w:t>GB/T 1.1-2020</w:t>
      </w:r>
      <w:r>
        <w:rPr>
          <w:rFonts w:hint="eastAsia" w:ascii="宋体" w:hAnsi="宋体" w:eastAsia="仿宋_GB2312" w:cs="方正仿宋_GBK"/>
          <w:sz w:val="32"/>
          <w:szCs w:val="32"/>
        </w:rPr>
        <w:t>）的要求进行编写。</w:t>
      </w:r>
    </w:p>
    <w:p w14:paraId="356B7DB5">
      <w:pPr>
        <w:snapToGrid w:val="0"/>
        <w:spacing w:line="560" w:lineRule="exact"/>
        <w:ind w:firstLine="640" w:firstLineChars="200"/>
        <w:rPr>
          <w:rFonts w:hint="eastAsia" w:ascii="宋体" w:hAnsi="宋体" w:eastAsia="楷体" w:cs="楷体"/>
          <w:sz w:val="32"/>
          <w:szCs w:val="32"/>
        </w:rPr>
      </w:pPr>
      <w:r>
        <w:rPr>
          <w:rFonts w:hint="eastAsia" w:ascii="宋体" w:hAnsi="宋体" w:eastAsia="楷体" w:cs="楷体"/>
          <w:sz w:val="32"/>
          <w:szCs w:val="32"/>
        </w:rPr>
        <w:t>（二）标准主要技术内容及确定依据</w:t>
      </w:r>
    </w:p>
    <w:p w14:paraId="77C25A0C">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1.标准的主要内容和框架</w:t>
      </w:r>
    </w:p>
    <w:p w14:paraId="760581A1">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本标准主要分为范围、规范性引用文件、术语和定义、总体要求、情景筛选与开发、应急任务梳理、应急能力分析、应急预案体系评估优化、应急预案编制与修订</w:t>
      </w:r>
      <w:r>
        <w:rPr>
          <w:rFonts w:hint="eastAsia" w:ascii="宋体" w:hAnsi="宋体" w:cs="方正仿宋_GBK"/>
          <w:sz w:val="32"/>
          <w:szCs w:val="32"/>
        </w:rPr>
        <w:t>9</w:t>
      </w:r>
      <w:r>
        <w:rPr>
          <w:rFonts w:hint="eastAsia" w:ascii="宋体" w:hAnsi="宋体" w:eastAsia="仿宋_GB2312" w:cs="方正仿宋_GBK"/>
          <w:sz w:val="32"/>
          <w:szCs w:val="32"/>
        </w:rPr>
        <w:t>章，并包含</w:t>
      </w:r>
      <w:r>
        <w:rPr>
          <w:rFonts w:hint="eastAsia" w:ascii="宋体" w:hAnsi="宋体" w:cs="方正仿宋_GBK"/>
          <w:sz w:val="32"/>
          <w:szCs w:val="32"/>
        </w:rPr>
        <w:t>4</w:t>
      </w:r>
      <w:r>
        <w:rPr>
          <w:rFonts w:hint="eastAsia" w:ascii="宋体" w:hAnsi="宋体" w:eastAsia="仿宋_GB2312" w:cs="方正仿宋_GBK"/>
          <w:sz w:val="32"/>
          <w:szCs w:val="32"/>
        </w:rPr>
        <w:t>个资料性附录。</w:t>
      </w:r>
    </w:p>
    <w:p w14:paraId="4C4B06AE">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2.重点内容分析</w:t>
      </w:r>
    </w:p>
    <w:p w14:paraId="754C3187">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（1）范围</w:t>
      </w:r>
    </w:p>
    <w:p w14:paraId="0714EC9A">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本文件提出的情景构建方法是一种普遍适用的方法，各类组织在编制各级应急预案时均可参照使用，但是基层组织开展情景构建工作的能力有限、必要性不足，具体开展情景构建时，需要参考本文件条款并根据实际情况进行适当简化和调整。因此，本文件适用范围聚焦于政府及其部门，提出其他组织可以参照使用，即“本文件适用于政府及其部门在应急预案制定过程中的情景构建工作，其他组织预案编制的情景构建工作参照使用。”</w:t>
      </w:r>
    </w:p>
    <w:p w14:paraId="48C57A6E">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（2）规范性引用文件</w:t>
      </w:r>
    </w:p>
    <w:p w14:paraId="5AF6A76D">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在情景筛选时，可采用国家标准</w:t>
      </w:r>
      <w:r>
        <w:rPr>
          <w:rFonts w:hint="eastAsia" w:ascii="宋体" w:hAnsi="宋体" w:cs="方正仿宋_GBK"/>
          <w:sz w:val="32"/>
          <w:szCs w:val="32"/>
        </w:rPr>
        <w:t>GB/T 27921</w:t>
      </w:r>
      <w:r>
        <w:rPr>
          <w:rFonts w:hint="eastAsia" w:ascii="宋体" w:hAnsi="宋体" w:eastAsia="仿宋_GB2312" w:cs="方正仿宋_GBK"/>
          <w:sz w:val="32"/>
          <w:szCs w:val="32"/>
        </w:rPr>
        <w:t xml:space="preserve"> 《风险管理 风险评估技术》中风险评估方法，通过风险可能性和后果严重性评价进行情景筛选。本文件规范性引用了该标准。</w:t>
      </w:r>
    </w:p>
    <w:p w14:paraId="4381D5CB">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（3）总体要求</w:t>
      </w:r>
    </w:p>
    <w:p w14:paraId="66F39460">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第4章总体要求，提出了情景构建总体要求，即要针对应急预案编制具体需求进行开展，并遵循针对性、实用性和可操作性的原则。明确了针对总体应急预案、专项应急预案和部门应急预案开展情景构建的区别和联系，情景构建技术主要应用于专项应急预案和部门应急预案，这两类预案编制过程中的情景构建需要协调一致，而总体应急预案内容牵涉具体突发事件情景较少，所以情景构建不直接应用于总体应急预案，但是总体应急预案在编制过程中也需要参考情景构建内容。</w:t>
      </w:r>
    </w:p>
    <w:p w14:paraId="29901998">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（4）情景构建内容和流程</w:t>
      </w:r>
    </w:p>
    <w:p w14:paraId="18329338">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第5章明确了情景构建的内容和流程，包括情景筛选与开发、应急任务梳理、应急能力分析、应急预案修订与完善、应急预案体系评估优化等。采用流程图的形式（见文件中图1）展示了各内容和流程间的逻辑关系，从应急预案编制的需求与目标出发，一方面进行情景构建，包括情景筛选与开发、基于应急管理四个阶段的任务梳理以及应急能力分析（包括需求分析、现状分析和提升规则）三个流程；另一方面，基于情景构建进行应急预案体系评估优化，之后开展应急预案编制与修订，应急预案体系的编制完善反过来又可以指导或纠正情景构建。</w:t>
      </w:r>
    </w:p>
    <w:p w14:paraId="67468B41">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（5）情景构建具体要求</w:t>
      </w:r>
    </w:p>
    <w:p w14:paraId="18593A7F">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第</w:t>
      </w:r>
      <w:r>
        <w:rPr>
          <w:rFonts w:hint="eastAsia" w:ascii="宋体" w:hAnsi="宋体" w:cs="方正仿宋_GBK"/>
          <w:sz w:val="32"/>
          <w:szCs w:val="32"/>
        </w:rPr>
        <w:t>6-8</w:t>
      </w:r>
      <w:r>
        <w:rPr>
          <w:rFonts w:hint="eastAsia" w:ascii="宋体" w:hAnsi="宋体" w:eastAsia="仿宋_GB2312" w:cs="方正仿宋_GBK"/>
          <w:sz w:val="32"/>
          <w:szCs w:val="32"/>
        </w:rPr>
        <w:t>章针对应急预案编制需求，按照情景构建的内容和流程，基于近</w:t>
      </w:r>
      <w:r>
        <w:rPr>
          <w:rFonts w:hint="eastAsia" w:ascii="宋体" w:hAnsi="宋体" w:cs="方正仿宋_GBK"/>
          <w:sz w:val="32"/>
          <w:szCs w:val="32"/>
        </w:rPr>
        <w:t>20</w:t>
      </w:r>
      <w:r>
        <w:rPr>
          <w:rFonts w:hint="eastAsia" w:ascii="宋体" w:hAnsi="宋体" w:eastAsia="仿宋_GB2312" w:cs="方正仿宋_GBK"/>
          <w:sz w:val="32"/>
          <w:szCs w:val="32"/>
        </w:rPr>
        <w:t>年来情景构建相关的理论和技术研究成果，提出了逐个阶段的内容和要求。</w:t>
      </w:r>
    </w:p>
    <w:p w14:paraId="3225D39C">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（6）应急预案体系和应急预案</w:t>
      </w:r>
    </w:p>
    <w:p w14:paraId="7033C75C">
      <w:pPr>
        <w:snapToGrid w:val="0"/>
        <w:spacing w:line="560" w:lineRule="exact"/>
        <w:ind w:firstLine="640" w:firstLineChars="200"/>
        <w:rPr>
          <w:rFonts w:hint="eastAsia" w:ascii="宋体" w:hAnsi="宋体" w:eastAsia="仿宋_GB2312"/>
          <w:sz w:val="32"/>
          <w:szCs w:val="22"/>
        </w:rPr>
      </w:pPr>
      <w:r>
        <w:rPr>
          <w:rFonts w:hint="eastAsia" w:ascii="宋体" w:hAnsi="宋体" w:eastAsia="仿宋_GB2312" w:cs="方正仿宋_GBK"/>
          <w:sz w:val="32"/>
          <w:szCs w:val="32"/>
        </w:rPr>
        <w:t>第</w:t>
      </w:r>
      <w:r>
        <w:rPr>
          <w:rFonts w:hint="eastAsia" w:ascii="宋体" w:hAnsi="宋体" w:cs="方正仿宋_GBK"/>
          <w:sz w:val="32"/>
          <w:szCs w:val="32"/>
        </w:rPr>
        <w:t>10-11</w:t>
      </w:r>
      <w:r>
        <w:rPr>
          <w:rFonts w:hint="eastAsia" w:ascii="宋体" w:hAnsi="宋体" w:eastAsia="仿宋_GB2312" w:cs="方正仿宋_GBK"/>
          <w:sz w:val="32"/>
          <w:szCs w:val="32"/>
        </w:rPr>
        <w:t>章围绕基于情景构建的应急预案体系优化评估和应急预案编制完善进行了阐述。其中“专项应急预案、部门应急预案应每3年至少进行一次演练”的要求来源于《突发事件应急预案管理办法》（国办发</w:t>
      </w:r>
      <w:r>
        <w:rPr>
          <w:rFonts w:hint="eastAsia" w:ascii="宋体" w:hAnsi="宋体" w:cs="方正仿宋_GBK"/>
          <w:sz w:val="32"/>
          <w:szCs w:val="32"/>
        </w:rPr>
        <w:t>〔2024〕5</w:t>
      </w:r>
      <w:r>
        <w:rPr>
          <w:rFonts w:hint="eastAsia" w:ascii="宋体" w:hAnsi="宋体" w:eastAsia="仿宋_GB2312" w:cs="方正仿宋_GBK"/>
          <w:sz w:val="32"/>
          <w:szCs w:val="32"/>
        </w:rPr>
        <w:t>号）。</w:t>
      </w:r>
    </w:p>
    <w:p w14:paraId="0D73FD66">
      <w:pPr>
        <w:snapToGrid w:val="0"/>
        <w:spacing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三、预期的经济效益、社会效益和生态效益</w:t>
      </w:r>
    </w:p>
    <w:p w14:paraId="35CCF7F7">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本标准的发布能够完善应急预案编制方法，加快构建应急预案管理标准体系，健全应急预案管理机制，进一步提升应急预案的有效性和适用性。对于提高我国突发事件应急处置能力，全面提高我国应急准备工作的高效性和精准性，切实维护人民群众生命财产安全具有重要意义。</w:t>
      </w:r>
    </w:p>
    <w:p w14:paraId="13518444">
      <w:pPr>
        <w:snapToGrid w:val="0"/>
        <w:spacing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四、与国际、国外有关法律法规和标准水平的对比分析</w:t>
      </w:r>
    </w:p>
    <w:p w14:paraId="394BEDC2">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在国外，应急管理方面的研究起步较早，发达国家如日本、德国、美国等已建立了相对完善的情景构建体系，为我国的应急管理领域提供了重要的理论参考和借鉴。日本自</w:t>
      </w:r>
      <w:r>
        <w:rPr>
          <w:rFonts w:hint="eastAsia" w:ascii="宋体" w:hAnsi="宋体" w:cs="方正仿宋_GBK"/>
          <w:sz w:val="32"/>
          <w:szCs w:val="32"/>
        </w:rPr>
        <w:t>1997</w:t>
      </w:r>
      <w:r>
        <w:rPr>
          <w:rFonts w:hint="eastAsia" w:ascii="宋体" w:hAnsi="宋体" w:eastAsia="仿宋_GB2312" w:cs="方正仿宋_GBK"/>
          <w:sz w:val="32"/>
          <w:szCs w:val="32"/>
        </w:rPr>
        <w:t>年起，每年都以假设情景进行地震应急演练，而美国则在“</w:t>
      </w:r>
      <w:r>
        <w:rPr>
          <w:rFonts w:hint="eastAsia" w:ascii="宋体" w:hAnsi="宋体" w:cs="方正仿宋_GBK"/>
          <w:sz w:val="32"/>
          <w:szCs w:val="32"/>
        </w:rPr>
        <w:t>9.11</w:t>
      </w:r>
      <w:r>
        <w:rPr>
          <w:rFonts w:hint="eastAsia" w:ascii="宋体" w:hAnsi="宋体" w:eastAsia="仿宋_GB2312" w:cs="方正仿宋_GBK"/>
          <w:sz w:val="32"/>
          <w:szCs w:val="32"/>
        </w:rPr>
        <w:t>”恐怖袭击后加强了应急管理准备，并制定了《国家应急规划情景》，形成了一套情景构建方法，指导</w:t>
      </w:r>
      <w:r>
        <w:rPr>
          <w:rFonts w:hint="eastAsia" w:ascii="宋体" w:hAnsi="宋体" w:cs="方正仿宋_GBK"/>
          <w:sz w:val="32"/>
          <w:szCs w:val="32"/>
        </w:rPr>
        <w:t>15</w:t>
      </w:r>
      <w:r>
        <w:rPr>
          <w:rFonts w:hint="eastAsia" w:ascii="宋体" w:hAnsi="宋体" w:eastAsia="仿宋_GB2312" w:cs="方正仿宋_GBK"/>
          <w:sz w:val="32"/>
          <w:szCs w:val="32"/>
        </w:rPr>
        <w:t>类典型突发事件进行情景构建和预案编制，在应急管理中发挥了重大作用。后续相继出台了《通用任务清单》《国家应急规划情景》等共同成为指导应急管理的重要战略工具。</w:t>
      </w:r>
      <w:r>
        <w:rPr>
          <w:rFonts w:hint="eastAsia" w:ascii="宋体" w:hAnsi="宋体" w:cs="方正仿宋_GBK"/>
          <w:sz w:val="32"/>
          <w:szCs w:val="32"/>
        </w:rPr>
        <w:t>2017</w:t>
      </w:r>
      <w:r>
        <w:rPr>
          <w:rFonts w:hint="eastAsia" w:ascii="宋体" w:hAnsi="宋体" w:eastAsia="仿宋_GB2312" w:cs="方正仿宋_GBK"/>
          <w:sz w:val="32"/>
          <w:szCs w:val="32"/>
        </w:rPr>
        <w:t>年，美国</w:t>
      </w:r>
      <w:r>
        <w:rPr>
          <w:rFonts w:hint="eastAsia" w:ascii="宋体" w:hAnsi="宋体" w:cs="方正仿宋_GBK"/>
          <w:sz w:val="32"/>
          <w:szCs w:val="32"/>
        </w:rPr>
        <w:t>Detweiler</w:t>
      </w:r>
      <w:r>
        <w:rPr>
          <w:rFonts w:hint="eastAsia" w:ascii="宋体" w:hAnsi="宋体" w:eastAsia="仿宋_GB2312" w:cs="方正仿宋_GBK"/>
          <w:sz w:val="32"/>
          <w:szCs w:val="32"/>
        </w:rPr>
        <w:t>等人构建海沃德地震情景，重点研究了地震余震和砂土液化对城市造成的破坏，并结合当前城市的发展增加了对互联网、通信等基础设施受损造成次生衍生灾害的研究。德国在经历</w:t>
      </w:r>
      <w:r>
        <w:rPr>
          <w:rFonts w:hint="eastAsia" w:ascii="宋体" w:hAnsi="宋体" w:cs="方正仿宋_GBK"/>
          <w:sz w:val="32"/>
          <w:szCs w:val="32"/>
        </w:rPr>
        <w:t>2002</w:t>
      </w:r>
      <w:r>
        <w:rPr>
          <w:rFonts w:hint="eastAsia" w:ascii="宋体" w:hAnsi="宋体" w:eastAsia="仿宋_GB2312" w:cs="方正仿宋_GBK"/>
          <w:sz w:val="32"/>
          <w:szCs w:val="32"/>
        </w:rPr>
        <w:t>年洪涝灾害后，逐步意识到应急准备工作的重要性，并展开了全国范围的联合演习，例如德国以情景构建为基础，制定预案后举行了“高压线结冰造成大规模断电，同时发生恐怖袭击”和“传染病爆发”演练后，在几年后都真实发生了类似事件，应对过程中由于准备充分，避免了重大伤亡和损失。英国则定期进行“国家安全风险清单”工作，动态分析未来威胁安全的情景。</w:t>
      </w:r>
      <w:r>
        <w:rPr>
          <w:rFonts w:hint="eastAsia" w:ascii="宋体" w:hAnsi="宋体" w:cs="方正仿宋_GBK"/>
          <w:sz w:val="32"/>
          <w:szCs w:val="32"/>
        </w:rPr>
        <w:t>ShakeOut</w:t>
      </w:r>
      <w:r>
        <w:rPr>
          <w:rFonts w:hint="eastAsia" w:ascii="宋体" w:hAnsi="宋体" w:eastAsia="仿宋_GB2312" w:cs="方正仿宋_GBK"/>
          <w:sz w:val="32"/>
          <w:szCs w:val="32"/>
        </w:rPr>
        <w:t>地震情景评估了在圣安德烈亚斯南部</w:t>
      </w:r>
      <w:r>
        <w:rPr>
          <w:rFonts w:hint="eastAsia" w:ascii="宋体" w:hAnsi="宋体" w:cs="方正仿宋_GBK"/>
          <w:sz w:val="32"/>
          <w:szCs w:val="32"/>
        </w:rPr>
        <w:t>Mw7.0</w:t>
      </w:r>
      <w:r>
        <w:rPr>
          <w:rFonts w:hint="eastAsia" w:ascii="宋体" w:hAnsi="宋体" w:eastAsia="仿宋_GB2312" w:cs="方正仿宋_GBK"/>
          <w:sz w:val="32"/>
          <w:szCs w:val="32"/>
        </w:rPr>
        <w:t>级地震情景的地质环境影响和震害情景。</w:t>
      </w:r>
    </w:p>
    <w:p w14:paraId="30ED0923">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虽然国外情景构建技术研究应用较早，但是国际、国外仍然没有相关的标准发布，本标准在研制过程中参考了国外的技术研究成果以及上述相关的文件报告内容。</w:t>
      </w:r>
    </w:p>
    <w:p w14:paraId="10845F81">
      <w:pPr>
        <w:snapToGrid w:val="0"/>
        <w:spacing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五、以国际标准为基础的起草情况、是否合规引用或采用国际国外标准以及未采用国际标准的原因</w:t>
      </w:r>
    </w:p>
    <w:p w14:paraId="41509EE5">
      <w:pPr>
        <w:snapToGrid w:val="0"/>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shd w:val="clear" w:color="auto" w:fill="FFFFFF"/>
        </w:rPr>
        <w:t>目前，国际、国外没有相关的标准供引用或采用。</w:t>
      </w:r>
    </w:p>
    <w:p w14:paraId="4CEC9886">
      <w:pPr>
        <w:snapToGrid w:val="0"/>
        <w:spacing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六、与有关现行法律、法规和其他相关标准的关系</w:t>
      </w:r>
    </w:p>
    <w:p w14:paraId="2BA424A6">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本标准能够为以下规范性文件中的内容或要求提供技术支撑，不存在与有关法律法规和标准冲突矛盾的情况：</w:t>
      </w:r>
      <w:r>
        <w:rPr>
          <w:rFonts w:hint="eastAsia" w:ascii="宋体" w:hAnsi="宋体" w:cs="方正仿宋_GBK"/>
          <w:sz w:val="32"/>
          <w:szCs w:val="32"/>
        </w:rPr>
        <w:t>1、</w:t>
      </w:r>
      <w:r>
        <w:rPr>
          <w:rFonts w:hint="eastAsia" w:ascii="宋体" w:hAnsi="宋体" w:eastAsia="仿宋_GB2312" w:cs="方正仿宋_GBK"/>
          <w:sz w:val="32"/>
          <w:szCs w:val="32"/>
        </w:rPr>
        <w:t>《中华人民共和国突发事件应对法》中“国家建立健全突发事件应急预案体系”，</w:t>
      </w:r>
      <w:r>
        <w:rPr>
          <w:rFonts w:hint="eastAsia" w:ascii="宋体" w:hAnsi="宋体" w:cs="方正仿宋_GBK"/>
          <w:sz w:val="32"/>
          <w:szCs w:val="32"/>
        </w:rPr>
        <w:t>2、</w:t>
      </w:r>
      <w:r>
        <w:rPr>
          <w:rFonts w:hint="eastAsia" w:ascii="宋体" w:hAnsi="宋体" w:eastAsia="仿宋_GB2312" w:cs="方正仿宋_GBK"/>
          <w:sz w:val="32"/>
          <w:szCs w:val="32"/>
        </w:rPr>
        <w:t>《突发事件应急预案管理办法》（国办发</w:t>
      </w:r>
      <w:r>
        <w:rPr>
          <w:rFonts w:hint="eastAsia" w:ascii="宋体" w:hAnsi="宋体" w:cs="方正仿宋_GBK"/>
          <w:sz w:val="32"/>
          <w:szCs w:val="32"/>
        </w:rPr>
        <w:t>〔2024〕5</w:t>
      </w:r>
      <w:r>
        <w:rPr>
          <w:rFonts w:hint="eastAsia" w:ascii="宋体" w:hAnsi="宋体" w:eastAsia="仿宋_GB2312" w:cs="方正仿宋_GBK"/>
          <w:sz w:val="32"/>
          <w:szCs w:val="32"/>
        </w:rPr>
        <w:t>号）中“强化应急预案准备”，</w:t>
      </w:r>
      <w:r>
        <w:rPr>
          <w:rFonts w:hint="eastAsia" w:ascii="宋体" w:hAnsi="宋体" w:cs="方正仿宋_GBK"/>
          <w:sz w:val="32"/>
          <w:szCs w:val="32"/>
        </w:rPr>
        <w:t>3、</w:t>
      </w:r>
      <w:r>
        <w:rPr>
          <w:rFonts w:hint="eastAsia" w:ascii="宋体" w:hAnsi="宋体" w:eastAsia="仿宋_GB2312" w:cs="方正仿宋_GBK"/>
          <w:sz w:val="32"/>
          <w:szCs w:val="32"/>
        </w:rPr>
        <w:t>《“十四五”国家应急体系规划》（国发</w:t>
      </w:r>
      <w:r>
        <w:rPr>
          <w:rFonts w:hint="eastAsia" w:ascii="宋体" w:hAnsi="宋体" w:cs="方正仿宋_GBK"/>
          <w:sz w:val="32"/>
          <w:szCs w:val="32"/>
        </w:rPr>
        <w:t>〔2021〕36</w:t>
      </w:r>
      <w:r>
        <w:rPr>
          <w:rFonts w:hint="eastAsia" w:ascii="宋体" w:hAnsi="宋体" w:eastAsia="仿宋_GB2312" w:cs="方正仿宋_GBK"/>
          <w:sz w:val="32"/>
          <w:szCs w:val="32"/>
        </w:rPr>
        <w:t>号）中“加强预案制修订过程中的风险评估、情景构建和应急资源调查”“编制城市公共安全风险评估、重大风险评估和情景构建等相关技术标准”。</w:t>
      </w:r>
      <w:r>
        <w:rPr>
          <w:rFonts w:hint="eastAsia" w:ascii="宋体" w:hAnsi="宋体" w:cs="方正仿宋_GBK"/>
          <w:sz w:val="32"/>
          <w:szCs w:val="32"/>
        </w:rPr>
        <w:t>4、</w:t>
      </w:r>
      <w:r>
        <w:rPr>
          <w:rFonts w:hint="eastAsia" w:ascii="宋体" w:hAnsi="宋体" w:eastAsia="仿宋_GB2312" w:cs="方正仿宋_GBK"/>
          <w:sz w:val="32"/>
          <w:szCs w:val="32"/>
        </w:rPr>
        <w:t>《“十四五”国家综合防灾减灾规划》（国减发</w:t>
      </w:r>
      <w:r>
        <w:rPr>
          <w:rFonts w:hint="eastAsia" w:ascii="宋体" w:hAnsi="宋体" w:cs="方正仿宋_GBK"/>
          <w:sz w:val="32"/>
          <w:szCs w:val="32"/>
        </w:rPr>
        <w:t>〔2022〕1</w:t>
      </w:r>
      <w:r>
        <w:rPr>
          <w:rFonts w:hint="eastAsia" w:ascii="宋体" w:hAnsi="宋体" w:eastAsia="仿宋_GB2312" w:cs="方正仿宋_GBK"/>
          <w:sz w:val="32"/>
          <w:szCs w:val="32"/>
        </w:rPr>
        <w:t>号）中“健全法律法规和预案标准体系”。</w:t>
      </w:r>
    </w:p>
    <w:p w14:paraId="531EB138">
      <w:pPr>
        <w:snapToGrid w:val="0"/>
        <w:spacing w:line="560" w:lineRule="exact"/>
        <w:ind w:firstLine="640" w:firstLineChars="200"/>
        <w:rPr>
          <w:rFonts w:hint="eastAsia" w:ascii="宋体" w:hAnsi="宋体" w:eastAsia="仿宋_GB2312"/>
          <w:sz w:val="32"/>
          <w:szCs w:val="22"/>
        </w:rPr>
      </w:pPr>
      <w:r>
        <w:rPr>
          <w:rFonts w:hint="eastAsia" w:ascii="宋体" w:hAnsi="宋体" w:eastAsia="仿宋_GB2312"/>
          <w:sz w:val="32"/>
          <w:szCs w:val="22"/>
        </w:rPr>
        <w:t>本标准引用了</w:t>
      </w:r>
      <w:r>
        <w:rPr>
          <w:rFonts w:hint="eastAsia" w:ascii="宋体" w:hAnsi="宋体"/>
          <w:sz w:val="32"/>
          <w:szCs w:val="22"/>
        </w:rPr>
        <w:t>1</w:t>
      </w:r>
      <w:r>
        <w:rPr>
          <w:rFonts w:hint="eastAsia" w:ascii="宋体" w:hAnsi="宋体" w:eastAsia="仿宋_GB2312"/>
          <w:sz w:val="32"/>
          <w:szCs w:val="22"/>
        </w:rPr>
        <w:t>项国家标准</w:t>
      </w:r>
      <w:r>
        <w:rPr>
          <w:rFonts w:hint="eastAsia" w:ascii="宋体" w:hAnsi="宋体"/>
          <w:sz w:val="32"/>
          <w:szCs w:val="22"/>
        </w:rPr>
        <w:t>GB/T 27921</w:t>
      </w:r>
      <w:r>
        <w:rPr>
          <w:rFonts w:hint="eastAsia" w:ascii="宋体" w:hAnsi="宋体" w:eastAsia="仿宋_GB2312"/>
          <w:sz w:val="32"/>
          <w:szCs w:val="22"/>
        </w:rPr>
        <w:t>《风险管理 风险评估技术》，主要通过风险评估进行情景的筛选。</w:t>
      </w:r>
    </w:p>
    <w:p w14:paraId="5B81A508">
      <w:pPr>
        <w:snapToGrid w:val="0"/>
        <w:spacing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七、</w:t>
      </w:r>
      <w:r>
        <w:rPr>
          <w:rFonts w:ascii="宋体" w:hAnsi="宋体" w:eastAsia="黑体"/>
          <w:sz w:val="32"/>
          <w:szCs w:val="32"/>
        </w:rPr>
        <w:t>重大分歧意见的处理经过和依据</w:t>
      </w:r>
    </w:p>
    <w:p w14:paraId="17A50F22">
      <w:pPr>
        <w:snapToGrid w:val="0"/>
        <w:spacing w:line="56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无。</w:t>
      </w:r>
    </w:p>
    <w:p w14:paraId="32423C0E">
      <w:pPr>
        <w:snapToGrid w:val="0"/>
        <w:spacing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八、作为强制性标准或推荐性标准的建议及理由</w:t>
      </w:r>
    </w:p>
    <w:p w14:paraId="3206C179">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本标准为推荐性标准。因为本标准为方法标准，主要是指导各组织开展情景构建工作。由于各组织的组织结构、管理模式、事故风险等情况差异性较大，情景构建工作的开展不能强制要求、情景构建流程和内容也不宜强制要求，因此，各适用组织可结合本单位特点对其中内容进行适当调整。</w:t>
      </w:r>
    </w:p>
    <w:p w14:paraId="4839175F">
      <w:pPr>
        <w:snapToGrid w:val="0"/>
        <w:spacing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九、标准自发布日期至实施日期的过渡期建议及理由</w:t>
      </w:r>
    </w:p>
    <w:p w14:paraId="51427E3D">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可不设置过渡期。标准发布后，政府机构及各部门、适用组织可以即刻参考标准开展情景构建工作。</w:t>
      </w:r>
    </w:p>
    <w:p w14:paraId="7EF1C51F">
      <w:pPr>
        <w:snapToGrid w:val="0"/>
        <w:spacing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十、与实施标准有关的政策措施</w:t>
      </w:r>
    </w:p>
    <w:p w14:paraId="1C2423BC">
      <w:pPr>
        <w:snapToGrid w:val="0"/>
        <w:spacing w:line="560" w:lineRule="exact"/>
        <w:ind w:firstLine="640" w:firstLineChars="200"/>
        <w:rPr>
          <w:rFonts w:hint="eastAsia" w:ascii="宋体" w:hAnsi="宋体" w:eastAsia="楷体" w:cs="楷体"/>
          <w:sz w:val="32"/>
          <w:szCs w:val="32"/>
        </w:rPr>
      </w:pPr>
      <w:r>
        <w:rPr>
          <w:rFonts w:hint="eastAsia" w:ascii="宋体" w:hAnsi="宋体" w:eastAsia="楷体" w:cs="楷体"/>
          <w:sz w:val="32"/>
          <w:szCs w:val="32"/>
        </w:rPr>
        <w:t>（一）宣传培训</w:t>
      </w:r>
    </w:p>
    <w:p w14:paraId="317BA54F">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一是起草标准的解读材料，通过应急管理部网站等媒体面向社会进行宣传，介绍亮点、要点和主要内容；二是开展培训活动，使相关人员学习了解掌握标准内容；三是多渠道、多形式开展宣贯活动。</w:t>
      </w:r>
    </w:p>
    <w:p w14:paraId="6F81A282">
      <w:pPr>
        <w:snapToGrid w:val="0"/>
        <w:spacing w:line="560" w:lineRule="exact"/>
        <w:ind w:firstLine="640" w:firstLineChars="200"/>
        <w:rPr>
          <w:rFonts w:hint="eastAsia" w:ascii="宋体" w:hAnsi="宋体" w:eastAsia="楷体" w:cs="楷体"/>
          <w:sz w:val="32"/>
          <w:szCs w:val="32"/>
        </w:rPr>
      </w:pPr>
      <w:r>
        <w:rPr>
          <w:rFonts w:hint="eastAsia" w:ascii="宋体" w:hAnsi="宋体" w:eastAsia="楷体" w:cs="楷体"/>
          <w:sz w:val="32"/>
          <w:szCs w:val="32"/>
        </w:rPr>
        <w:t>（二）动态评估</w:t>
      </w:r>
    </w:p>
    <w:p w14:paraId="5B445B1F">
      <w:pPr>
        <w:snapToGrid w:val="0"/>
        <w:spacing w:line="560" w:lineRule="exact"/>
        <w:ind w:firstLine="640" w:firstLineChars="200"/>
        <w:rPr>
          <w:rFonts w:hint="eastAsia" w:ascii="宋体" w:hAnsi="宋体" w:eastAsia="仿宋_GB2312" w:cs="方正仿宋_GBK"/>
          <w:sz w:val="32"/>
          <w:szCs w:val="32"/>
        </w:rPr>
      </w:pPr>
      <w:r>
        <w:rPr>
          <w:rFonts w:hint="eastAsia" w:ascii="宋体" w:hAnsi="宋体" w:eastAsia="仿宋_GB2312" w:cs="方正仿宋_GBK"/>
          <w:sz w:val="32"/>
          <w:szCs w:val="32"/>
        </w:rPr>
        <w:t>标准实施后实行动态收集意见和定期评估的机制，日常工作中及时收集整理使用过程中出现的问题，定期汇总研讨各单位反馈的问题，及时提出政策调整的意见建议，为标准修订奠定工作基础。</w:t>
      </w:r>
    </w:p>
    <w:p w14:paraId="6868A4E0">
      <w:pPr>
        <w:snapToGrid w:val="0"/>
        <w:spacing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十一、</w:t>
      </w:r>
      <w:r>
        <w:rPr>
          <w:rFonts w:ascii="宋体" w:hAnsi="宋体" w:eastAsia="黑体"/>
          <w:sz w:val="32"/>
          <w:szCs w:val="32"/>
        </w:rPr>
        <w:t>废止现行有关标准的建议</w:t>
      </w:r>
    </w:p>
    <w:p w14:paraId="118A25CE">
      <w:pPr>
        <w:snapToGrid w:val="0"/>
        <w:spacing w:line="56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无。</w:t>
      </w:r>
    </w:p>
    <w:p w14:paraId="7BD9100C">
      <w:pPr>
        <w:snapToGrid w:val="0"/>
        <w:spacing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十二、涉及专利的有关说明</w:t>
      </w:r>
    </w:p>
    <w:p w14:paraId="51498FC0">
      <w:pPr>
        <w:snapToGrid w:val="0"/>
        <w:spacing w:line="56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无。</w:t>
      </w:r>
    </w:p>
    <w:p w14:paraId="0E1C881A">
      <w:pPr>
        <w:snapToGrid w:val="0"/>
        <w:spacing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十三、标准所涉及的产品、过程或者服务目录</w:t>
      </w:r>
    </w:p>
    <w:p w14:paraId="779E0EA1">
      <w:pPr>
        <w:snapToGrid w:val="0"/>
        <w:spacing w:line="56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无。</w:t>
      </w:r>
    </w:p>
    <w:p w14:paraId="05A437BE">
      <w:pPr>
        <w:snapToGrid w:val="0"/>
        <w:spacing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十四、其他</w:t>
      </w:r>
      <w:r>
        <w:rPr>
          <w:rFonts w:ascii="宋体" w:hAnsi="宋体" w:eastAsia="黑体"/>
          <w:sz w:val="32"/>
          <w:szCs w:val="32"/>
        </w:rPr>
        <w:t>应予以说明的事项</w:t>
      </w:r>
    </w:p>
    <w:p w14:paraId="07FB343E">
      <w:pPr>
        <w:snapToGrid w:val="0"/>
        <w:spacing w:line="560" w:lineRule="exact"/>
        <w:ind w:firstLine="640" w:firstLineChars="200"/>
        <w:rPr>
          <w:rFonts w:hint="eastAsia" w:ascii="宋体" w:hAnsi="宋体" w:eastAsia="仿宋_GB2312" w:cs="仿宋_GB2312"/>
          <w:sz w:val="32"/>
          <w:szCs w:val="32"/>
        </w:rPr>
      </w:pPr>
      <w:r>
        <w:rPr>
          <w:rFonts w:hint="eastAsia" w:ascii="宋体" w:hAnsi="宋体" w:eastAsia="方正仿宋_GBK" w:cs="方正仿宋_GBK"/>
          <w:sz w:val="32"/>
          <w:szCs w:val="32"/>
        </w:rPr>
        <w:t>无。</w:t>
      </w:r>
    </w:p>
    <w:p w14:paraId="4B0FD530">
      <w:pPr>
        <w:pStyle w:val="60"/>
        <w:ind w:firstLine="0" w:firstLineChars="0"/>
      </w:pPr>
    </w:p>
    <w:sectPr>
      <w:footerReference r:id="rId20" w:type="default"/>
      <w:pgSz w:w="11906" w:h="16838"/>
      <w:pgMar w:top="1701" w:right="1474" w:bottom="1474" w:left="1588"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公文楷体">
    <w:panose1 w:val="02000500000000000000"/>
    <w:charset w:val="86"/>
    <w:family w:val="auto"/>
    <w:pitch w:val="default"/>
    <w:sig w:usb0="A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G Times">
    <w:altName w:val="Times New Roman"/>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C197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CF047">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0963">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E3CFD">
    <w:pPr>
      <w:pStyle w:val="56"/>
      <w:rPr>
        <w:sz w:val="21"/>
        <w:szCs w:val="22"/>
      </w:rPr>
    </w:pPr>
    <w:r>
      <w:rPr>
        <w:sz w:val="21"/>
        <w:szCs w:val="22"/>
      </w:rPr>
      <w:fldChar w:fldCharType="begin"/>
    </w:r>
    <w:r>
      <w:rPr>
        <w:sz w:val="21"/>
        <w:szCs w:val="22"/>
      </w:rPr>
      <w:instrText xml:space="preserve">PAGE   \* MERGEFORMAT</w:instrText>
    </w:r>
    <w:r>
      <w:rPr>
        <w:sz w:val="21"/>
        <w:szCs w:val="22"/>
      </w:rPr>
      <w:fldChar w:fldCharType="separate"/>
    </w:r>
    <w:r>
      <w:rPr>
        <w:sz w:val="21"/>
        <w:szCs w:val="22"/>
        <w:lang w:val="zh-CN"/>
      </w:rPr>
      <w:t>1</w:t>
    </w:r>
    <w:r>
      <w:rPr>
        <w:sz w:val="21"/>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B729F">
    <w:pPr>
      <w:pStyle w:val="5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893F5">
                          <w:pPr>
                            <w:pStyle w:val="56"/>
                            <w:rPr>
                              <w:sz w:val="21"/>
                              <w:szCs w:val="22"/>
                            </w:rPr>
                          </w:pPr>
                          <w:r>
                            <w:rPr>
                              <w:sz w:val="21"/>
                              <w:szCs w:val="22"/>
                            </w:rPr>
                            <w:fldChar w:fldCharType="begin"/>
                          </w:r>
                          <w:r>
                            <w:rPr>
                              <w:sz w:val="21"/>
                              <w:szCs w:val="22"/>
                            </w:rPr>
                            <w:instrText xml:space="preserve">PAGE   \* MERGEFORMAT</w:instrText>
                          </w:r>
                          <w:r>
                            <w:rPr>
                              <w:sz w:val="21"/>
                              <w:szCs w:val="22"/>
                            </w:rPr>
                            <w:fldChar w:fldCharType="separate"/>
                          </w:r>
                          <w:r>
                            <w:rPr>
                              <w:sz w:val="21"/>
                              <w:szCs w:val="22"/>
                              <w:lang w:val="zh-CN"/>
                            </w:rPr>
                            <w:t>1</w:t>
                          </w:r>
                          <w:r>
                            <w:rPr>
                              <w:sz w:val="21"/>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D893F5">
                    <w:pPr>
                      <w:pStyle w:val="56"/>
                      <w:rPr>
                        <w:sz w:val="21"/>
                        <w:szCs w:val="22"/>
                      </w:rPr>
                    </w:pPr>
                    <w:r>
                      <w:rPr>
                        <w:sz w:val="21"/>
                        <w:szCs w:val="22"/>
                      </w:rPr>
                      <w:fldChar w:fldCharType="begin"/>
                    </w:r>
                    <w:r>
                      <w:rPr>
                        <w:sz w:val="21"/>
                        <w:szCs w:val="22"/>
                      </w:rPr>
                      <w:instrText xml:space="preserve">PAGE   \* MERGEFORMAT</w:instrText>
                    </w:r>
                    <w:r>
                      <w:rPr>
                        <w:sz w:val="21"/>
                        <w:szCs w:val="22"/>
                      </w:rPr>
                      <w:fldChar w:fldCharType="separate"/>
                    </w:r>
                    <w:r>
                      <w:rPr>
                        <w:sz w:val="21"/>
                        <w:szCs w:val="22"/>
                        <w:lang w:val="zh-CN"/>
                      </w:rPr>
                      <w:t>1</w:t>
                    </w:r>
                    <w:r>
                      <w:rPr>
                        <w:sz w:val="21"/>
                        <w:szCs w:val="2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9BE4D">
    <w:pPr>
      <w:pStyle w:val="18"/>
    </w:pPr>
    <w:r>
      <w:fldChar w:fldCharType="begin"/>
    </w:r>
    <w:r>
      <w:instrText xml:space="preserve">PAGE   \* MERGEFORMAT</w:instrText>
    </w:r>
    <w:r>
      <w:fldChar w:fldCharType="separate"/>
    </w:r>
    <w:r>
      <w:rPr>
        <w:lang w:val="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70143">
    <w:pPr>
      <w:tabs>
        <w:tab w:val="center" w:pos="4153"/>
        <w:tab w:val="right" w:pos="8306"/>
      </w:tabs>
      <w:adjustRightInd/>
      <w:snapToGrid w:val="0"/>
      <w:spacing w:line="240" w:lineRule="auto"/>
      <w:jc w:val="center"/>
      <w:rPr>
        <w:rFonts w:hint="eastAsia" w:ascii="等线" w:hAnsi="等线" w:eastAsia="等线"/>
        <w:sz w:val="18"/>
        <w:szCs w:val="18"/>
      </w:rPr>
    </w:pPr>
  </w:p>
  <w:p w14:paraId="75B850D6">
    <w:pPr>
      <w:tabs>
        <w:tab w:val="center" w:pos="4153"/>
        <w:tab w:val="right" w:pos="8306"/>
      </w:tabs>
      <w:adjustRightInd/>
      <w:snapToGrid w:val="0"/>
      <w:spacing w:line="240" w:lineRule="auto"/>
      <w:jc w:val="left"/>
      <w:rPr>
        <w:rFonts w:hint="eastAsia" w:ascii="等线" w:hAnsi="等线" w:eastAsia="等线"/>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D2337">
    <w:pPr>
      <w:snapToGrid w:val="0"/>
      <w:jc w:val="center"/>
      <w:rPr>
        <w:rFonts w:hint="eastAsia" w:ascii="宋体" w:hAnsi="宋体"/>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2E1CA">
                          <w:pPr>
                            <w:snapToGrid w:val="0"/>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9C2E1CA">
                    <w:pPr>
                      <w:snapToGrid w:val="0"/>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AB371">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13C5A">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789D7">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EF1F7">
    <w:pPr>
      <w:pStyle w:val="65"/>
      <w:spacing w:after="0"/>
      <w:rPr>
        <w:rFonts w:hint="eastAsia"/>
      </w:rPr>
    </w:pPr>
    <w:r>
      <w:fldChar w:fldCharType="begin"/>
    </w:r>
    <w:r>
      <w:instrText xml:space="preserve"> STYLEREF  标准文件_文件编号  \* MERGEFORMAT </w:instrText>
    </w:r>
    <w:r>
      <w:fldChar w:fldCharType="separate"/>
    </w:r>
    <w:r>
      <w:t>GB/T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D29FA">
    <w:pPr>
      <w:pStyle w:val="19"/>
      <w:jc w:val="right"/>
    </w:pPr>
    <w:r>
      <w:fldChar w:fldCharType="begin"/>
    </w:r>
    <w:r>
      <w:instrText xml:space="preserve"> STYLEREF  标准文件_文件编号  \* MERGEFORMAT </w:instrText>
    </w:r>
    <w:r>
      <w:fldChar w:fldCharType="separate"/>
    </w:r>
    <w:r>
      <w:t>GB/T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E1C29">
    <w:pPr>
      <w:pStyle w:val="65"/>
      <w:spacing w:before="120"/>
      <w:rPr>
        <w:rFonts w:hint="eastAsia"/>
      </w:rPr>
    </w:pPr>
    <w:r>
      <w:fldChar w:fldCharType="begin"/>
    </w:r>
    <w:r>
      <w:instrText xml:space="preserve"> STYLEREF  标准文件_文件编号  \* MERGEFORMAT </w:instrText>
    </w:r>
    <w:r>
      <w:fldChar w:fldCharType="separate"/>
    </w:r>
    <w:r>
      <w:t>GB/T 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C537A">
    <w:pPr>
      <w:pStyle w:val="19"/>
      <w:jc w:val="right"/>
    </w:pPr>
    <w:r>
      <w:fldChar w:fldCharType="begin"/>
    </w:r>
    <w:r>
      <w:instrText xml:space="preserve"> STYLEREF  标准文件_文件编号  \* MERGEFORMAT </w:instrText>
    </w:r>
    <w:r>
      <w:fldChar w:fldCharType="separate"/>
    </w:r>
    <w:r>
      <w:t>GB/T XXXXX—XXXX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579F9">
    <w:pPr>
      <w:pStyle w:val="65"/>
      <w:spacing w:before="12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4536"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iMGFmMGEzYWQ0ZTkzYjc2NjIzMmZkMWQ5NzU3N2YifQ=="/>
  </w:docVars>
  <w:rsids>
    <w:rsidRoot w:val="0090486E"/>
    <w:rsid w:val="0000040A"/>
    <w:rsid w:val="00000A94"/>
    <w:rsid w:val="000014C1"/>
    <w:rsid w:val="00001972"/>
    <w:rsid w:val="00001D9A"/>
    <w:rsid w:val="00004A03"/>
    <w:rsid w:val="00007B3A"/>
    <w:rsid w:val="000107E0"/>
    <w:rsid w:val="00011FDE"/>
    <w:rsid w:val="00012FFD"/>
    <w:rsid w:val="00014162"/>
    <w:rsid w:val="00014340"/>
    <w:rsid w:val="00016A9C"/>
    <w:rsid w:val="00022184"/>
    <w:rsid w:val="00022762"/>
    <w:rsid w:val="000238E0"/>
    <w:rsid w:val="000249DB"/>
    <w:rsid w:val="00025162"/>
    <w:rsid w:val="0002595E"/>
    <w:rsid w:val="000303C3"/>
    <w:rsid w:val="000331D3"/>
    <w:rsid w:val="000346A5"/>
    <w:rsid w:val="000359C3"/>
    <w:rsid w:val="00035A7D"/>
    <w:rsid w:val="00035CE2"/>
    <w:rsid w:val="0004249A"/>
    <w:rsid w:val="00043282"/>
    <w:rsid w:val="00044286"/>
    <w:rsid w:val="00047F28"/>
    <w:rsid w:val="000503AA"/>
    <w:rsid w:val="000506A1"/>
    <w:rsid w:val="000515DD"/>
    <w:rsid w:val="00051EB0"/>
    <w:rsid w:val="0005265A"/>
    <w:rsid w:val="000539DD"/>
    <w:rsid w:val="00053BD3"/>
    <w:rsid w:val="000556ED"/>
    <w:rsid w:val="00055FE2"/>
    <w:rsid w:val="0005616F"/>
    <w:rsid w:val="00060C2E"/>
    <w:rsid w:val="00061033"/>
    <w:rsid w:val="000619E9"/>
    <w:rsid w:val="000622D4"/>
    <w:rsid w:val="0006357D"/>
    <w:rsid w:val="00067F1E"/>
    <w:rsid w:val="00071CC0"/>
    <w:rsid w:val="00073B8D"/>
    <w:rsid w:val="00073C8C"/>
    <w:rsid w:val="00077B64"/>
    <w:rsid w:val="00080A1C"/>
    <w:rsid w:val="00082317"/>
    <w:rsid w:val="00083D2C"/>
    <w:rsid w:val="000843EE"/>
    <w:rsid w:val="00085AEA"/>
    <w:rsid w:val="00086AA1"/>
    <w:rsid w:val="00087A77"/>
    <w:rsid w:val="00090CA6"/>
    <w:rsid w:val="00092B8A"/>
    <w:rsid w:val="00092FB0"/>
    <w:rsid w:val="000934C5"/>
    <w:rsid w:val="00093D25"/>
    <w:rsid w:val="00094D73"/>
    <w:rsid w:val="000961B3"/>
    <w:rsid w:val="00096D63"/>
    <w:rsid w:val="000A0B60"/>
    <w:rsid w:val="000A0EB8"/>
    <w:rsid w:val="000A19FC"/>
    <w:rsid w:val="000A296B"/>
    <w:rsid w:val="000A5D12"/>
    <w:rsid w:val="000A6A6F"/>
    <w:rsid w:val="000A7311"/>
    <w:rsid w:val="000B060F"/>
    <w:rsid w:val="000B1592"/>
    <w:rsid w:val="000B1FF2"/>
    <w:rsid w:val="000B3CDA"/>
    <w:rsid w:val="000B48F4"/>
    <w:rsid w:val="000B6A0B"/>
    <w:rsid w:val="000B6C55"/>
    <w:rsid w:val="000C0F6C"/>
    <w:rsid w:val="000C11DB"/>
    <w:rsid w:val="000C2FBD"/>
    <w:rsid w:val="000C3336"/>
    <w:rsid w:val="000C3E10"/>
    <w:rsid w:val="000C4B41"/>
    <w:rsid w:val="000C57D6"/>
    <w:rsid w:val="000C7666"/>
    <w:rsid w:val="000D0A9C"/>
    <w:rsid w:val="000D1795"/>
    <w:rsid w:val="000D329A"/>
    <w:rsid w:val="000D3E50"/>
    <w:rsid w:val="000D4B9C"/>
    <w:rsid w:val="000D4EB6"/>
    <w:rsid w:val="000D753B"/>
    <w:rsid w:val="000D7609"/>
    <w:rsid w:val="000E067A"/>
    <w:rsid w:val="000E1887"/>
    <w:rsid w:val="000E4C9E"/>
    <w:rsid w:val="000E6FD7"/>
    <w:rsid w:val="000F06E1"/>
    <w:rsid w:val="000F0E3C"/>
    <w:rsid w:val="000F19D5"/>
    <w:rsid w:val="000F2E41"/>
    <w:rsid w:val="000F4AEA"/>
    <w:rsid w:val="000F6501"/>
    <w:rsid w:val="000F67E9"/>
    <w:rsid w:val="001016A7"/>
    <w:rsid w:val="00104926"/>
    <w:rsid w:val="0011328F"/>
    <w:rsid w:val="00113B1E"/>
    <w:rsid w:val="0011711C"/>
    <w:rsid w:val="0012257B"/>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0DDE"/>
    <w:rsid w:val="00151C84"/>
    <w:rsid w:val="001529E5"/>
    <w:rsid w:val="00153C7E"/>
    <w:rsid w:val="00156B25"/>
    <w:rsid w:val="00156E1A"/>
    <w:rsid w:val="00157B55"/>
    <w:rsid w:val="00161619"/>
    <w:rsid w:val="001618B2"/>
    <w:rsid w:val="001642FA"/>
    <w:rsid w:val="001649EB"/>
    <w:rsid w:val="00164B77"/>
    <w:rsid w:val="00164BAF"/>
    <w:rsid w:val="00164FA8"/>
    <w:rsid w:val="00165065"/>
    <w:rsid w:val="00165434"/>
    <w:rsid w:val="0016580B"/>
    <w:rsid w:val="00165F49"/>
    <w:rsid w:val="00166B88"/>
    <w:rsid w:val="0016770A"/>
    <w:rsid w:val="00170804"/>
    <w:rsid w:val="001708E9"/>
    <w:rsid w:val="00170937"/>
    <w:rsid w:val="0017340B"/>
    <w:rsid w:val="00173FB1"/>
    <w:rsid w:val="00176DFD"/>
    <w:rsid w:val="001852C9"/>
    <w:rsid w:val="00190087"/>
    <w:rsid w:val="001913C4"/>
    <w:rsid w:val="0019348F"/>
    <w:rsid w:val="00193A07"/>
    <w:rsid w:val="00194C95"/>
    <w:rsid w:val="00195C34"/>
    <w:rsid w:val="001A1A53"/>
    <w:rsid w:val="001A234A"/>
    <w:rsid w:val="001B06E8"/>
    <w:rsid w:val="001B57BB"/>
    <w:rsid w:val="001B71D0"/>
    <w:rsid w:val="001B71EE"/>
    <w:rsid w:val="001C04A8"/>
    <w:rsid w:val="001C2C03"/>
    <w:rsid w:val="001C42F7"/>
    <w:rsid w:val="001C49E5"/>
    <w:rsid w:val="001C680C"/>
    <w:rsid w:val="001C7D81"/>
    <w:rsid w:val="001C7FEA"/>
    <w:rsid w:val="001D0499"/>
    <w:rsid w:val="001D0BBE"/>
    <w:rsid w:val="001D0ED4"/>
    <w:rsid w:val="001D1C53"/>
    <w:rsid w:val="001D212F"/>
    <w:rsid w:val="001D29D7"/>
    <w:rsid w:val="001D2DE7"/>
    <w:rsid w:val="001D411C"/>
    <w:rsid w:val="001D4357"/>
    <w:rsid w:val="001E1B6A"/>
    <w:rsid w:val="001E2484"/>
    <w:rsid w:val="001E31BA"/>
    <w:rsid w:val="001E3CC4"/>
    <w:rsid w:val="001E4882"/>
    <w:rsid w:val="001E72E9"/>
    <w:rsid w:val="001E73AB"/>
    <w:rsid w:val="001E7D4F"/>
    <w:rsid w:val="001F092D"/>
    <w:rsid w:val="001F143A"/>
    <w:rsid w:val="001F1605"/>
    <w:rsid w:val="001F2508"/>
    <w:rsid w:val="001F4816"/>
    <w:rsid w:val="001F4BD8"/>
    <w:rsid w:val="001F69B4"/>
    <w:rsid w:val="001F77C7"/>
    <w:rsid w:val="00200183"/>
    <w:rsid w:val="0020084A"/>
    <w:rsid w:val="0020107D"/>
    <w:rsid w:val="00202AA4"/>
    <w:rsid w:val="002031F7"/>
    <w:rsid w:val="002040E6"/>
    <w:rsid w:val="0020527B"/>
    <w:rsid w:val="00210B15"/>
    <w:rsid w:val="00212109"/>
    <w:rsid w:val="00213B5B"/>
    <w:rsid w:val="002142EA"/>
    <w:rsid w:val="0021640E"/>
    <w:rsid w:val="00217279"/>
    <w:rsid w:val="002204BB"/>
    <w:rsid w:val="00221B79"/>
    <w:rsid w:val="00221C6B"/>
    <w:rsid w:val="002253A1"/>
    <w:rsid w:val="00225CF8"/>
    <w:rsid w:val="0022794E"/>
    <w:rsid w:val="00233D64"/>
    <w:rsid w:val="0023482A"/>
    <w:rsid w:val="002359CB"/>
    <w:rsid w:val="00236954"/>
    <w:rsid w:val="002375D9"/>
    <w:rsid w:val="0024290C"/>
    <w:rsid w:val="00243540"/>
    <w:rsid w:val="0024497B"/>
    <w:rsid w:val="0024515B"/>
    <w:rsid w:val="00246021"/>
    <w:rsid w:val="0024666E"/>
    <w:rsid w:val="00247F52"/>
    <w:rsid w:val="00250B25"/>
    <w:rsid w:val="00250BBE"/>
    <w:rsid w:val="0025194F"/>
    <w:rsid w:val="002560FE"/>
    <w:rsid w:val="0026148A"/>
    <w:rsid w:val="00262146"/>
    <w:rsid w:val="00262696"/>
    <w:rsid w:val="002643C3"/>
    <w:rsid w:val="00264A0C"/>
    <w:rsid w:val="00267EF4"/>
    <w:rsid w:val="00270CB8"/>
    <w:rsid w:val="00271148"/>
    <w:rsid w:val="00272767"/>
    <w:rsid w:val="00272B08"/>
    <w:rsid w:val="00273BE2"/>
    <w:rsid w:val="00277FED"/>
    <w:rsid w:val="00281BB8"/>
    <w:rsid w:val="00281E9E"/>
    <w:rsid w:val="00284259"/>
    <w:rsid w:val="00284B65"/>
    <w:rsid w:val="00285170"/>
    <w:rsid w:val="00285361"/>
    <w:rsid w:val="00286859"/>
    <w:rsid w:val="00292D60"/>
    <w:rsid w:val="00294D34"/>
    <w:rsid w:val="00294E3B"/>
    <w:rsid w:val="0029530A"/>
    <w:rsid w:val="00296193"/>
    <w:rsid w:val="00296C66"/>
    <w:rsid w:val="00296EBE"/>
    <w:rsid w:val="0029718B"/>
    <w:rsid w:val="002974E3"/>
    <w:rsid w:val="002A084B"/>
    <w:rsid w:val="002A1260"/>
    <w:rsid w:val="002A1589"/>
    <w:rsid w:val="002A1608"/>
    <w:rsid w:val="002A25DC"/>
    <w:rsid w:val="002A3AAB"/>
    <w:rsid w:val="002A4CEA"/>
    <w:rsid w:val="002A5977"/>
    <w:rsid w:val="002A5A13"/>
    <w:rsid w:val="002A7F44"/>
    <w:rsid w:val="002B026F"/>
    <w:rsid w:val="002B0C40"/>
    <w:rsid w:val="002B1966"/>
    <w:rsid w:val="002B2932"/>
    <w:rsid w:val="002B3B6D"/>
    <w:rsid w:val="002B4508"/>
    <w:rsid w:val="002B5779"/>
    <w:rsid w:val="002B7332"/>
    <w:rsid w:val="002B7F51"/>
    <w:rsid w:val="002C09E7"/>
    <w:rsid w:val="002C1B28"/>
    <w:rsid w:val="002C234C"/>
    <w:rsid w:val="002C351B"/>
    <w:rsid w:val="002C3F07"/>
    <w:rsid w:val="002C4F14"/>
    <w:rsid w:val="002C5278"/>
    <w:rsid w:val="002C7EBB"/>
    <w:rsid w:val="002D06C1"/>
    <w:rsid w:val="002D17CE"/>
    <w:rsid w:val="002D42B5"/>
    <w:rsid w:val="002D4F1A"/>
    <w:rsid w:val="002D530F"/>
    <w:rsid w:val="002D66AE"/>
    <w:rsid w:val="002D6EC6"/>
    <w:rsid w:val="002D79AC"/>
    <w:rsid w:val="002E039D"/>
    <w:rsid w:val="002E4D5A"/>
    <w:rsid w:val="002E5766"/>
    <w:rsid w:val="002E6326"/>
    <w:rsid w:val="002E73AF"/>
    <w:rsid w:val="002F30E0"/>
    <w:rsid w:val="002F35E4"/>
    <w:rsid w:val="002F3730"/>
    <w:rsid w:val="002F38E1"/>
    <w:rsid w:val="002F7AF6"/>
    <w:rsid w:val="00300E63"/>
    <w:rsid w:val="00302F5F"/>
    <w:rsid w:val="0030441D"/>
    <w:rsid w:val="00306063"/>
    <w:rsid w:val="00313B85"/>
    <w:rsid w:val="00314BDF"/>
    <w:rsid w:val="00317988"/>
    <w:rsid w:val="00320280"/>
    <w:rsid w:val="003221B4"/>
    <w:rsid w:val="003228BA"/>
    <w:rsid w:val="00322E62"/>
    <w:rsid w:val="00324EDD"/>
    <w:rsid w:val="0032620E"/>
    <w:rsid w:val="00333FDD"/>
    <w:rsid w:val="00335DEF"/>
    <w:rsid w:val="00336C64"/>
    <w:rsid w:val="00337162"/>
    <w:rsid w:val="0033738F"/>
    <w:rsid w:val="0034194F"/>
    <w:rsid w:val="00344605"/>
    <w:rsid w:val="00346E3C"/>
    <w:rsid w:val="003474AA"/>
    <w:rsid w:val="00350D1D"/>
    <w:rsid w:val="00352C83"/>
    <w:rsid w:val="00356BDA"/>
    <w:rsid w:val="003607D8"/>
    <w:rsid w:val="00360E70"/>
    <w:rsid w:val="003615D2"/>
    <w:rsid w:val="0036429C"/>
    <w:rsid w:val="00364A53"/>
    <w:rsid w:val="003654CB"/>
    <w:rsid w:val="00365F86"/>
    <w:rsid w:val="00365F87"/>
    <w:rsid w:val="003705F4"/>
    <w:rsid w:val="00370D58"/>
    <w:rsid w:val="00371316"/>
    <w:rsid w:val="00375D44"/>
    <w:rsid w:val="00376713"/>
    <w:rsid w:val="00381815"/>
    <w:rsid w:val="003819AF"/>
    <w:rsid w:val="003820E9"/>
    <w:rsid w:val="00382DE7"/>
    <w:rsid w:val="00383743"/>
    <w:rsid w:val="00384FFC"/>
    <w:rsid w:val="003872FC"/>
    <w:rsid w:val="00387ADC"/>
    <w:rsid w:val="00390020"/>
    <w:rsid w:val="003903D6"/>
    <w:rsid w:val="003906E5"/>
    <w:rsid w:val="00390EE6"/>
    <w:rsid w:val="0039118F"/>
    <w:rsid w:val="00392AD7"/>
    <w:rsid w:val="00392C1E"/>
    <w:rsid w:val="0039369D"/>
    <w:rsid w:val="003938D9"/>
    <w:rsid w:val="00394376"/>
    <w:rsid w:val="003943FF"/>
    <w:rsid w:val="003974EB"/>
    <w:rsid w:val="00397CC5"/>
    <w:rsid w:val="003A1582"/>
    <w:rsid w:val="003A4077"/>
    <w:rsid w:val="003B09AD"/>
    <w:rsid w:val="003B1F18"/>
    <w:rsid w:val="003B29C8"/>
    <w:rsid w:val="003B5BF0"/>
    <w:rsid w:val="003B60BF"/>
    <w:rsid w:val="003B6BE3"/>
    <w:rsid w:val="003B6CFC"/>
    <w:rsid w:val="003C010C"/>
    <w:rsid w:val="003C0A6C"/>
    <w:rsid w:val="003C5A43"/>
    <w:rsid w:val="003C6282"/>
    <w:rsid w:val="003C688D"/>
    <w:rsid w:val="003C727E"/>
    <w:rsid w:val="003D0519"/>
    <w:rsid w:val="003D0FF6"/>
    <w:rsid w:val="003D0FF8"/>
    <w:rsid w:val="003D262C"/>
    <w:rsid w:val="003D4F0A"/>
    <w:rsid w:val="003D607E"/>
    <w:rsid w:val="003D6D61"/>
    <w:rsid w:val="003D7D08"/>
    <w:rsid w:val="003E091D"/>
    <w:rsid w:val="003E1C53"/>
    <w:rsid w:val="003E2A69"/>
    <w:rsid w:val="003E2CF4"/>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4E4D"/>
    <w:rsid w:val="004167A3"/>
    <w:rsid w:val="004263F7"/>
    <w:rsid w:val="004321BA"/>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1638"/>
    <w:rsid w:val="004746B1"/>
    <w:rsid w:val="0047583F"/>
    <w:rsid w:val="004843E5"/>
    <w:rsid w:val="00484936"/>
    <w:rsid w:val="00485C89"/>
    <w:rsid w:val="00486BE3"/>
    <w:rsid w:val="0048769E"/>
    <w:rsid w:val="004905E4"/>
    <w:rsid w:val="00490A89"/>
    <w:rsid w:val="00490AB4"/>
    <w:rsid w:val="00492F02"/>
    <w:rsid w:val="004932F6"/>
    <w:rsid w:val="004939AE"/>
    <w:rsid w:val="004A12DF"/>
    <w:rsid w:val="004A1BA8"/>
    <w:rsid w:val="004A4B57"/>
    <w:rsid w:val="004A63FA"/>
    <w:rsid w:val="004B2701"/>
    <w:rsid w:val="004B2E1B"/>
    <w:rsid w:val="004B3E93"/>
    <w:rsid w:val="004C1FBC"/>
    <w:rsid w:val="004C390A"/>
    <w:rsid w:val="004C3F1D"/>
    <w:rsid w:val="004C43E0"/>
    <w:rsid w:val="004C458D"/>
    <w:rsid w:val="004C6AE9"/>
    <w:rsid w:val="004C7556"/>
    <w:rsid w:val="004C7E9D"/>
    <w:rsid w:val="004C7F67"/>
    <w:rsid w:val="004D076D"/>
    <w:rsid w:val="004D0EF1"/>
    <w:rsid w:val="004D1F14"/>
    <w:rsid w:val="004D2253"/>
    <w:rsid w:val="004D4406"/>
    <w:rsid w:val="004D63B5"/>
    <w:rsid w:val="004D7C42"/>
    <w:rsid w:val="004E0465"/>
    <w:rsid w:val="004E127B"/>
    <w:rsid w:val="004E17FB"/>
    <w:rsid w:val="004E1C0A"/>
    <w:rsid w:val="004E30C5"/>
    <w:rsid w:val="004E4AA5"/>
    <w:rsid w:val="004E4AEE"/>
    <w:rsid w:val="004E59E3"/>
    <w:rsid w:val="004E67C0"/>
    <w:rsid w:val="004F04E5"/>
    <w:rsid w:val="004F391A"/>
    <w:rsid w:val="004F3CFB"/>
    <w:rsid w:val="004F6456"/>
    <w:rsid w:val="004F696E"/>
    <w:rsid w:val="004F6C71"/>
    <w:rsid w:val="00501139"/>
    <w:rsid w:val="0050363E"/>
    <w:rsid w:val="005039BC"/>
    <w:rsid w:val="005043BB"/>
    <w:rsid w:val="00504A3D"/>
    <w:rsid w:val="00505767"/>
    <w:rsid w:val="005073F0"/>
    <w:rsid w:val="00507FED"/>
    <w:rsid w:val="00510A7B"/>
    <w:rsid w:val="00512D1E"/>
    <w:rsid w:val="00512F6E"/>
    <w:rsid w:val="00513038"/>
    <w:rsid w:val="00514174"/>
    <w:rsid w:val="00514DF9"/>
    <w:rsid w:val="005151C0"/>
    <w:rsid w:val="00516088"/>
    <w:rsid w:val="00516B0B"/>
    <w:rsid w:val="005220EC"/>
    <w:rsid w:val="00523461"/>
    <w:rsid w:val="00523F95"/>
    <w:rsid w:val="00524D65"/>
    <w:rsid w:val="00525B16"/>
    <w:rsid w:val="00525DD3"/>
    <w:rsid w:val="00533D04"/>
    <w:rsid w:val="00534804"/>
    <w:rsid w:val="00534BDF"/>
    <w:rsid w:val="005354EA"/>
    <w:rsid w:val="00535EC4"/>
    <w:rsid w:val="00535ED9"/>
    <w:rsid w:val="0053692B"/>
    <w:rsid w:val="00540A9F"/>
    <w:rsid w:val="00541853"/>
    <w:rsid w:val="00543B9D"/>
    <w:rsid w:val="00543BDA"/>
    <w:rsid w:val="005441CC"/>
    <w:rsid w:val="005479DA"/>
    <w:rsid w:val="00547BCC"/>
    <w:rsid w:val="0055013B"/>
    <w:rsid w:val="00551F6F"/>
    <w:rsid w:val="00555044"/>
    <w:rsid w:val="00555EFE"/>
    <w:rsid w:val="00557CBD"/>
    <w:rsid w:val="00561225"/>
    <w:rsid w:val="00561475"/>
    <w:rsid w:val="005640A5"/>
    <w:rsid w:val="0056487B"/>
    <w:rsid w:val="00564FB9"/>
    <w:rsid w:val="00573D9E"/>
    <w:rsid w:val="00573E9C"/>
    <w:rsid w:val="00575BF3"/>
    <w:rsid w:val="005801E3"/>
    <w:rsid w:val="00581802"/>
    <w:rsid w:val="00581C15"/>
    <w:rsid w:val="005836A8"/>
    <w:rsid w:val="00584262"/>
    <w:rsid w:val="00586630"/>
    <w:rsid w:val="00586CF4"/>
    <w:rsid w:val="00587ADD"/>
    <w:rsid w:val="00592BCD"/>
    <w:rsid w:val="0059445B"/>
    <w:rsid w:val="00596160"/>
    <w:rsid w:val="005966E2"/>
    <w:rsid w:val="00597007"/>
    <w:rsid w:val="00597C6A"/>
    <w:rsid w:val="00597F01"/>
    <w:rsid w:val="005A0966"/>
    <w:rsid w:val="005A11B7"/>
    <w:rsid w:val="005A260B"/>
    <w:rsid w:val="005A4A1B"/>
    <w:rsid w:val="005A4F1B"/>
    <w:rsid w:val="005A66FC"/>
    <w:rsid w:val="005A730E"/>
    <w:rsid w:val="005A7830"/>
    <w:rsid w:val="005A7FCE"/>
    <w:rsid w:val="005B0F3F"/>
    <w:rsid w:val="005B34C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19A7"/>
    <w:rsid w:val="005F284E"/>
    <w:rsid w:val="005F29C1"/>
    <w:rsid w:val="005F5CC6"/>
    <w:rsid w:val="006002B2"/>
    <w:rsid w:val="006009A6"/>
    <w:rsid w:val="006015CE"/>
    <w:rsid w:val="00604784"/>
    <w:rsid w:val="00606419"/>
    <w:rsid w:val="00607D29"/>
    <w:rsid w:val="0061063E"/>
    <w:rsid w:val="00611EF4"/>
    <w:rsid w:val="00612952"/>
    <w:rsid w:val="00614CC1"/>
    <w:rsid w:val="00615A9D"/>
    <w:rsid w:val="006162BE"/>
    <w:rsid w:val="00616BBB"/>
    <w:rsid w:val="00617387"/>
    <w:rsid w:val="00620B3A"/>
    <w:rsid w:val="00622718"/>
    <w:rsid w:val="006252D8"/>
    <w:rsid w:val="006259BC"/>
    <w:rsid w:val="0062636B"/>
    <w:rsid w:val="0062671A"/>
    <w:rsid w:val="00626922"/>
    <w:rsid w:val="00627E89"/>
    <w:rsid w:val="00632182"/>
    <w:rsid w:val="0063256A"/>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5788C"/>
    <w:rsid w:val="006640E5"/>
    <w:rsid w:val="006646F1"/>
    <w:rsid w:val="00664929"/>
    <w:rsid w:val="00664A90"/>
    <w:rsid w:val="00664F62"/>
    <w:rsid w:val="006655E1"/>
    <w:rsid w:val="00672060"/>
    <w:rsid w:val="00672BFD"/>
    <w:rsid w:val="006770F4"/>
    <w:rsid w:val="00677A84"/>
    <w:rsid w:val="0068026D"/>
    <w:rsid w:val="00680A27"/>
    <w:rsid w:val="006816A4"/>
    <w:rsid w:val="006819B8"/>
    <w:rsid w:val="00683554"/>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311F"/>
    <w:rsid w:val="006C3851"/>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6F7905"/>
    <w:rsid w:val="007002C5"/>
    <w:rsid w:val="00704387"/>
    <w:rsid w:val="00707669"/>
    <w:rsid w:val="00711CBA"/>
    <w:rsid w:val="00711FB5"/>
    <w:rsid w:val="00712A01"/>
    <w:rsid w:val="00714F58"/>
    <w:rsid w:val="00715E84"/>
    <w:rsid w:val="0071677E"/>
    <w:rsid w:val="0072013E"/>
    <w:rsid w:val="0072067A"/>
    <w:rsid w:val="00722FBF"/>
    <w:rsid w:val="00722FC2"/>
    <w:rsid w:val="00725949"/>
    <w:rsid w:val="00727FA2"/>
    <w:rsid w:val="007322D9"/>
    <w:rsid w:val="00732BC0"/>
    <w:rsid w:val="00732CD4"/>
    <w:rsid w:val="0073720F"/>
    <w:rsid w:val="00737796"/>
    <w:rsid w:val="0074165C"/>
    <w:rsid w:val="0074278E"/>
    <w:rsid w:val="007432CA"/>
    <w:rsid w:val="007439EB"/>
    <w:rsid w:val="00743CB4"/>
    <w:rsid w:val="00743F0A"/>
    <w:rsid w:val="007444E8"/>
    <w:rsid w:val="0074548E"/>
    <w:rsid w:val="00745773"/>
    <w:rsid w:val="00746800"/>
    <w:rsid w:val="007501A8"/>
    <w:rsid w:val="0075094F"/>
    <w:rsid w:val="00750EE1"/>
    <w:rsid w:val="00752B4D"/>
    <w:rsid w:val="00755402"/>
    <w:rsid w:val="00756B26"/>
    <w:rsid w:val="00756EDF"/>
    <w:rsid w:val="007609A2"/>
    <w:rsid w:val="00765C43"/>
    <w:rsid w:val="00765EFB"/>
    <w:rsid w:val="0076664A"/>
    <w:rsid w:val="007671CA"/>
    <w:rsid w:val="00767C61"/>
    <w:rsid w:val="0077008A"/>
    <w:rsid w:val="00773C1F"/>
    <w:rsid w:val="00774DA4"/>
    <w:rsid w:val="00776599"/>
    <w:rsid w:val="00777B6D"/>
    <w:rsid w:val="0078114B"/>
    <w:rsid w:val="00781DD2"/>
    <w:rsid w:val="00783668"/>
    <w:rsid w:val="00783ECF"/>
    <w:rsid w:val="0078413A"/>
    <w:rsid w:val="00790CA3"/>
    <w:rsid w:val="00790E01"/>
    <w:rsid w:val="00795079"/>
    <w:rsid w:val="007959E8"/>
    <w:rsid w:val="00795E9C"/>
    <w:rsid w:val="00796793"/>
    <w:rsid w:val="007A0521"/>
    <w:rsid w:val="007A061E"/>
    <w:rsid w:val="007A2E12"/>
    <w:rsid w:val="007A3475"/>
    <w:rsid w:val="007A3FEF"/>
    <w:rsid w:val="007A41C8"/>
    <w:rsid w:val="007A54CE"/>
    <w:rsid w:val="007A6118"/>
    <w:rsid w:val="007A6119"/>
    <w:rsid w:val="007A7FFA"/>
    <w:rsid w:val="007B04EB"/>
    <w:rsid w:val="007B0D4F"/>
    <w:rsid w:val="007B2D03"/>
    <w:rsid w:val="007B5A3D"/>
    <w:rsid w:val="007B5B95"/>
    <w:rsid w:val="007B68EA"/>
    <w:rsid w:val="007C0468"/>
    <w:rsid w:val="007C19E8"/>
    <w:rsid w:val="007C2D89"/>
    <w:rsid w:val="007C4593"/>
    <w:rsid w:val="007C5309"/>
    <w:rsid w:val="007C6069"/>
    <w:rsid w:val="007C71AB"/>
    <w:rsid w:val="007D06C4"/>
    <w:rsid w:val="007D1352"/>
    <w:rsid w:val="007D1E8D"/>
    <w:rsid w:val="007D2508"/>
    <w:rsid w:val="007D346A"/>
    <w:rsid w:val="007D5EC2"/>
    <w:rsid w:val="007D644E"/>
    <w:rsid w:val="007D6518"/>
    <w:rsid w:val="007D76BD"/>
    <w:rsid w:val="007E0BF1"/>
    <w:rsid w:val="007F0ED8"/>
    <w:rsid w:val="007F0F63"/>
    <w:rsid w:val="007F75CE"/>
    <w:rsid w:val="008013A4"/>
    <w:rsid w:val="008027CE"/>
    <w:rsid w:val="00802F42"/>
    <w:rsid w:val="00804383"/>
    <w:rsid w:val="00804BB7"/>
    <w:rsid w:val="00806E56"/>
    <w:rsid w:val="00807E99"/>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22AB"/>
    <w:rsid w:val="0083348C"/>
    <w:rsid w:val="00834B53"/>
    <w:rsid w:val="008353FC"/>
    <w:rsid w:val="00836857"/>
    <w:rsid w:val="008373D3"/>
    <w:rsid w:val="00840617"/>
    <w:rsid w:val="00842A47"/>
    <w:rsid w:val="00843C13"/>
    <w:rsid w:val="008454F8"/>
    <w:rsid w:val="0084629B"/>
    <w:rsid w:val="00851342"/>
    <w:rsid w:val="0085173A"/>
    <w:rsid w:val="00851935"/>
    <w:rsid w:val="00853AC6"/>
    <w:rsid w:val="008603CE"/>
    <w:rsid w:val="008620FC"/>
    <w:rsid w:val="008627A5"/>
    <w:rsid w:val="00863497"/>
    <w:rsid w:val="00863E05"/>
    <w:rsid w:val="00865ACA"/>
    <w:rsid w:val="00865D28"/>
    <w:rsid w:val="00865F85"/>
    <w:rsid w:val="00867C10"/>
    <w:rsid w:val="00870439"/>
    <w:rsid w:val="00870DA1"/>
    <w:rsid w:val="00883F93"/>
    <w:rsid w:val="00884031"/>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715"/>
    <w:rsid w:val="008D0CE8"/>
    <w:rsid w:val="008D2D1D"/>
    <w:rsid w:val="008D453D"/>
    <w:rsid w:val="008D49BC"/>
    <w:rsid w:val="008D53AD"/>
    <w:rsid w:val="008D562B"/>
    <w:rsid w:val="008D5733"/>
    <w:rsid w:val="008D622B"/>
    <w:rsid w:val="008D666C"/>
    <w:rsid w:val="008D7B54"/>
    <w:rsid w:val="008E0C9D"/>
    <w:rsid w:val="008E1648"/>
    <w:rsid w:val="008E1B3E"/>
    <w:rsid w:val="008E2319"/>
    <w:rsid w:val="008E4BB6"/>
    <w:rsid w:val="008E528E"/>
    <w:rsid w:val="008E5518"/>
    <w:rsid w:val="008E5995"/>
    <w:rsid w:val="008E6A84"/>
    <w:rsid w:val="008F0CDC"/>
    <w:rsid w:val="008F17A3"/>
    <w:rsid w:val="008F1ED3"/>
    <w:rsid w:val="008F4C29"/>
    <w:rsid w:val="008F70BD"/>
    <w:rsid w:val="008F72A3"/>
    <w:rsid w:val="008F7842"/>
    <w:rsid w:val="008F788F"/>
    <w:rsid w:val="008F7EA2"/>
    <w:rsid w:val="009014C8"/>
    <w:rsid w:val="00902722"/>
    <w:rsid w:val="009027BC"/>
    <w:rsid w:val="0090486E"/>
    <w:rsid w:val="009062E6"/>
    <w:rsid w:val="00911BE5"/>
    <w:rsid w:val="00913CA9"/>
    <w:rsid w:val="009145AE"/>
    <w:rsid w:val="009146CE"/>
    <w:rsid w:val="00914CA7"/>
    <w:rsid w:val="00915C3E"/>
    <w:rsid w:val="009161A8"/>
    <w:rsid w:val="0091673D"/>
    <w:rsid w:val="00921F69"/>
    <w:rsid w:val="009245F5"/>
    <w:rsid w:val="0092468F"/>
    <w:rsid w:val="009249EC"/>
    <w:rsid w:val="009273B3"/>
    <w:rsid w:val="009305B5"/>
    <w:rsid w:val="00934858"/>
    <w:rsid w:val="009349FA"/>
    <w:rsid w:val="00934C12"/>
    <w:rsid w:val="009429D5"/>
    <w:rsid w:val="00942AB2"/>
    <w:rsid w:val="00942BF1"/>
    <w:rsid w:val="009436EA"/>
    <w:rsid w:val="00945180"/>
    <w:rsid w:val="00945428"/>
    <w:rsid w:val="0094607B"/>
    <w:rsid w:val="0095250E"/>
    <w:rsid w:val="00952C52"/>
    <w:rsid w:val="00953604"/>
    <w:rsid w:val="009610DC"/>
    <w:rsid w:val="00961490"/>
    <w:rsid w:val="0096381A"/>
    <w:rsid w:val="00965E04"/>
    <w:rsid w:val="009674AD"/>
    <w:rsid w:val="0097094E"/>
    <w:rsid w:val="00970CDC"/>
    <w:rsid w:val="00974B39"/>
    <w:rsid w:val="00977010"/>
    <w:rsid w:val="00977D02"/>
    <w:rsid w:val="009809BB"/>
    <w:rsid w:val="00982D22"/>
    <w:rsid w:val="0098364B"/>
    <w:rsid w:val="00983BF9"/>
    <w:rsid w:val="009911AF"/>
    <w:rsid w:val="009914C5"/>
    <w:rsid w:val="00991875"/>
    <w:rsid w:val="00991F92"/>
    <w:rsid w:val="00992985"/>
    <w:rsid w:val="0099320D"/>
    <w:rsid w:val="00993889"/>
    <w:rsid w:val="0099551B"/>
    <w:rsid w:val="0099712F"/>
    <w:rsid w:val="00997BF1"/>
    <w:rsid w:val="009A089C"/>
    <w:rsid w:val="009A118E"/>
    <w:rsid w:val="009A21CD"/>
    <w:rsid w:val="009A278C"/>
    <w:rsid w:val="009A2BC2"/>
    <w:rsid w:val="009A3EEC"/>
    <w:rsid w:val="009A42C1"/>
    <w:rsid w:val="009A5429"/>
    <w:rsid w:val="009A5BA9"/>
    <w:rsid w:val="009A72AD"/>
    <w:rsid w:val="009B09E0"/>
    <w:rsid w:val="009B0BC5"/>
    <w:rsid w:val="009B1247"/>
    <w:rsid w:val="009B6029"/>
    <w:rsid w:val="009B6971"/>
    <w:rsid w:val="009B7A6C"/>
    <w:rsid w:val="009C0F0D"/>
    <w:rsid w:val="009C27F1"/>
    <w:rsid w:val="009C3152"/>
    <w:rsid w:val="009C4CFA"/>
    <w:rsid w:val="009C5070"/>
    <w:rsid w:val="009D05AE"/>
    <w:rsid w:val="009D1067"/>
    <w:rsid w:val="009D112C"/>
    <w:rsid w:val="009D47FA"/>
    <w:rsid w:val="009D50D2"/>
    <w:rsid w:val="009D6BCA"/>
    <w:rsid w:val="009E0F62"/>
    <w:rsid w:val="009E4A58"/>
    <w:rsid w:val="009E5A2D"/>
    <w:rsid w:val="009E5AB2"/>
    <w:rsid w:val="009E6219"/>
    <w:rsid w:val="009F03B3"/>
    <w:rsid w:val="009F3832"/>
    <w:rsid w:val="009F7A29"/>
    <w:rsid w:val="00A01757"/>
    <w:rsid w:val="00A028C0"/>
    <w:rsid w:val="00A02BAE"/>
    <w:rsid w:val="00A03EC9"/>
    <w:rsid w:val="00A05D56"/>
    <w:rsid w:val="00A06A6B"/>
    <w:rsid w:val="00A07E47"/>
    <w:rsid w:val="00A12644"/>
    <w:rsid w:val="00A129D0"/>
    <w:rsid w:val="00A12C33"/>
    <w:rsid w:val="00A138BA"/>
    <w:rsid w:val="00A14C8E"/>
    <w:rsid w:val="00A153D9"/>
    <w:rsid w:val="00A15F09"/>
    <w:rsid w:val="00A169B6"/>
    <w:rsid w:val="00A222AA"/>
    <w:rsid w:val="00A2271D"/>
    <w:rsid w:val="00A236E5"/>
    <w:rsid w:val="00A237D5"/>
    <w:rsid w:val="00A24F7B"/>
    <w:rsid w:val="00A25B4A"/>
    <w:rsid w:val="00A30EFC"/>
    <w:rsid w:val="00A31984"/>
    <w:rsid w:val="00A31DD3"/>
    <w:rsid w:val="00A32D73"/>
    <w:rsid w:val="00A32ECE"/>
    <w:rsid w:val="00A3307D"/>
    <w:rsid w:val="00A3367B"/>
    <w:rsid w:val="00A336BB"/>
    <w:rsid w:val="00A33ABD"/>
    <w:rsid w:val="00A3554B"/>
    <w:rsid w:val="00A3597D"/>
    <w:rsid w:val="00A36F68"/>
    <w:rsid w:val="00A40091"/>
    <w:rsid w:val="00A4030F"/>
    <w:rsid w:val="00A41C79"/>
    <w:rsid w:val="00A41CB5"/>
    <w:rsid w:val="00A42CDF"/>
    <w:rsid w:val="00A4452E"/>
    <w:rsid w:val="00A4472C"/>
    <w:rsid w:val="00A44AC7"/>
    <w:rsid w:val="00A44E69"/>
    <w:rsid w:val="00A45C6E"/>
    <w:rsid w:val="00A4661E"/>
    <w:rsid w:val="00A55BD6"/>
    <w:rsid w:val="00A55D50"/>
    <w:rsid w:val="00A57142"/>
    <w:rsid w:val="00A61526"/>
    <w:rsid w:val="00A648CD"/>
    <w:rsid w:val="00A6537A"/>
    <w:rsid w:val="00A67866"/>
    <w:rsid w:val="00A70B07"/>
    <w:rsid w:val="00A723F8"/>
    <w:rsid w:val="00A77CCB"/>
    <w:rsid w:val="00A83D8D"/>
    <w:rsid w:val="00A8446B"/>
    <w:rsid w:val="00A8473F"/>
    <w:rsid w:val="00A862D6"/>
    <w:rsid w:val="00A86E06"/>
    <w:rsid w:val="00A8715E"/>
    <w:rsid w:val="00A87F72"/>
    <w:rsid w:val="00A9295B"/>
    <w:rsid w:val="00A93B09"/>
    <w:rsid w:val="00A952D7"/>
    <w:rsid w:val="00A95595"/>
    <w:rsid w:val="00A963F7"/>
    <w:rsid w:val="00A96AD8"/>
    <w:rsid w:val="00AA052C"/>
    <w:rsid w:val="00AA1E45"/>
    <w:rsid w:val="00AA2A24"/>
    <w:rsid w:val="00AA4286"/>
    <w:rsid w:val="00AA456B"/>
    <w:rsid w:val="00AA57F5"/>
    <w:rsid w:val="00AA672E"/>
    <w:rsid w:val="00AA6BF4"/>
    <w:rsid w:val="00AA6EC9"/>
    <w:rsid w:val="00AB4AB5"/>
    <w:rsid w:val="00AB5E34"/>
    <w:rsid w:val="00AB6309"/>
    <w:rsid w:val="00AB6C5F"/>
    <w:rsid w:val="00AB7129"/>
    <w:rsid w:val="00AC1D98"/>
    <w:rsid w:val="00AC27A6"/>
    <w:rsid w:val="00AC30F7"/>
    <w:rsid w:val="00AC3A5A"/>
    <w:rsid w:val="00AC416C"/>
    <w:rsid w:val="00AC4D95"/>
    <w:rsid w:val="00AC5027"/>
    <w:rsid w:val="00AC5DF4"/>
    <w:rsid w:val="00AC66ED"/>
    <w:rsid w:val="00AD0AEF"/>
    <w:rsid w:val="00AD11B7"/>
    <w:rsid w:val="00AD1A94"/>
    <w:rsid w:val="00AD1C05"/>
    <w:rsid w:val="00AD2278"/>
    <w:rsid w:val="00AD3367"/>
    <w:rsid w:val="00AD4126"/>
    <w:rsid w:val="00AD421C"/>
    <w:rsid w:val="00AD44FA"/>
    <w:rsid w:val="00AD7DE7"/>
    <w:rsid w:val="00AE070A"/>
    <w:rsid w:val="00AE101C"/>
    <w:rsid w:val="00AE326D"/>
    <w:rsid w:val="00AF0C18"/>
    <w:rsid w:val="00AF47C5"/>
    <w:rsid w:val="00AF4FDC"/>
    <w:rsid w:val="00AF5398"/>
    <w:rsid w:val="00AF5FC7"/>
    <w:rsid w:val="00AF77F6"/>
    <w:rsid w:val="00B049AF"/>
    <w:rsid w:val="00B07242"/>
    <w:rsid w:val="00B10534"/>
    <w:rsid w:val="00B113DB"/>
    <w:rsid w:val="00B11D8A"/>
    <w:rsid w:val="00B12981"/>
    <w:rsid w:val="00B147DD"/>
    <w:rsid w:val="00B156FD"/>
    <w:rsid w:val="00B15765"/>
    <w:rsid w:val="00B21F61"/>
    <w:rsid w:val="00B22309"/>
    <w:rsid w:val="00B23045"/>
    <w:rsid w:val="00B261F1"/>
    <w:rsid w:val="00B265BC"/>
    <w:rsid w:val="00B31FB1"/>
    <w:rsid w:val="00B3210E"/>
    <w:rsid w:val="00B33952"/>
    <w:rsid w:val="00B33C5E"/>
    <w:rsid w:val="00B342F4"/>
    <w:rsid w:val="00B34369"/>
    <w:rsid w:val="00B34DC2"/>
    <w:rsid w:val="00B378E5"/>
    <w:rsid w:val="00B404ED"/>
    <w:rsid w:val="00B4346D"/>
    <w:rsid w:val="00B440F4"/>
    <w:rsid w:val="00B447A5"/>
    <w:rsid w:val="00B4654C"/>
    <w:rsid w:val="00B47293"/>
    <w:rsid w:val="00B52120"/>
    <w:rsid w:val="00B54ABC"/>
    <w:rsid w:val="00B56FBE"/>
    <w:rsid w:val="00B60FDF"/>
    <w:rsid w:val="00B62B58"/>
    <w:rsid w:val="00B6492B"/>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97956"/>
    <w:rsid w:val="00BA263B"/>
    <w:rsid w:val="00BA42B2"/>
    <w:rsid w:val="00BA58D4"/>
    <w:rsid w:val="00BA5B9E"/>
    <w:rsid w:val="00BA68A0"/>
    <w:rsid w:val="00BA7C9A"/>
    <w:rsid w:val="00BB59BD"/>
    <w:rsid w:val="00BB5F8F"/>
    <w:rsid w:val="00BB657A"/>
    <w:rsid w:val="00BB69CF"/>
    <w:rsid w:val="00BC1A4E"/>
    <w:rsid w:val="00BC5DC7"/>
    <w:rsid w:val="00BC6B8B"/>
    <w:rsid w:val="00BC73D8"/>
    <w:rsid w:val="00BD3183"/>
    <w:rsid w:val="00BD52D7"/>
    <w:rsid w:val="00BD5AD2"/>
    <w:rsid w:val="00BD6082"/>
    <w:rsid w:val="00BE22F3"/>
    <w:rsid w:val="00BE49EE"/>
    <w:rsid w:val="00BE5B52"/>
    <w:rsid w:val="00BE7B8D"/>
    <w:rsid w:val="00BF0993"/>
    <w:rsid w:val="00BF10A9"/>
    <w:rsid w:val="00BF1703"/>
    <w:rsid w:val="00BF231C"/>
    <w:rsid w:val="00BF51E5"/>
    <w:rsid w:val="00BF7008"/>
    <w:rsid w:val="00BF74A6"/>
    <w:rsid w:val="00C013AD"/>
    <w:rsid w:val="00C04904"/>
    <w:rsid w:val="00C056B3"/>
    <w:rsid w:val="00C05C56"/>
    <w:rsid w:val="00C103E5"/>
    <w:rsid w:val="00C13319"/>
    <w:rsid w:val="00C13EE9"/>
    <w:rsid w:val="00C14D87"/>
    <w:rsid w:val="00C16494"/>
    <w:rsid w:val="00C21540"/>
    <w:rsid w:val="00C21906"/>
    <w:rsid w:val="00C21BFA"/>
    <w:rsid w:val="00C24C8D"/>
    <w:rsid w:val="00C25FE2"/>
    <w:rsid w:val="00C26B53"/>
    <w:rsid w:val="00C279B2"/>
    <w:rsid w:val="00C3146C"/>
    <w:rsid w:val="00C33E50"/>
    <w:rsid w:val="00C34C20"/>
    <w:rsid w:val="00C35A3E"/>
    <w:rsid w:val="00C3663F"/>
    <w:rsid w:val="00C42130"/>
    <w:rsid w:val="00C423A4"/>
    <w:rsid w:val="00C42565"/>
    <w:rsid w:val="00C43FCE"/>
    <w:rsid w:val="00C44BF5"/>
    <w:rsid w:val="00C4712E"/>
    <w:rsid w:val="00C5275F"/>
    <w:rsid w:val="00C53C77"/>
    <w:rsid w:val="00C55232"/>
    <w:rsid w:val="00C553A4"/>
    <w:rsid w:val="00C55A06"/>
    <w:rsid w:val="00C55D03"/>
    <w:rsid w:val="00C601BC"/>
    <w:rsid w:val="00C6329F"/>
    <w:rsid w:val="00C63340"/>
    <w:rsid w:val="00C643F9"/>
    <w:rsid w:val="00C64E95"/>
    <w:rsid w:val="00C655FD"/>
    <w:rsid w:val="00C71372"/>
    <w:rsid w:val="00C71DEA"/>
    <w:rsid w:val="00C72410"/>
    <w:rsid w:val="00C7287F"/>
    <w:rsid w:val="00C72F0E"/>
    <w:rsid w:val="00C73DF3"/>
    <w:rsid w:val="00C77114"/>
    <w:rsid w:val="00C80CB8"/>
    <w:rsid w:val="00C819F8"/>
    <w:rsid w:val="00C8248C"/>
    <w:rsid w:val="00C84E33"/>
    <w:rsid w:val="00C86D6F"/>
    <w:rsid w:val="00C905FC"/>
    <w:rsid w:val="00C92C98"/>
    <w:rsid w:val="00C92D03"/>
    <w:rsid w:val="00C9319C"/>
    <w:rsid w:val="00C9435D"/>
    <w:rsid w:val="00C9517F"/>
    <w:rsid w:val="00C96741"/>
    <w:rsid w:val="00CA0DD1"/>
    <w:rsid w:val="00CA2D1B"/>
    <w:rsid w:val="00CA37DD"/>
    <w:rsid w:val="00CA482B"/>
    <w:rsid w:val="00CA662A"/>
    <w:rsid w:val="00CA7AFD"/>
    <w:rsid w:val="00CA7C3C"/>
    <w:rsid w:val="00CB0189"/>
    <w:rsid w:val="00CB0BA2"/>
    <w:rsid w:val="00CB1A42"/>
    <w:rsid w:val="00CB1B0C"/>
    <w:rsid w:val="00CB2C0B"/>
    <w:rsid w:val="00CB4BE8"/>
    <w:rsid w:val="00CB517D"/>
    <w:rsid w:val="00CC038D"/>
    <w:rsid w:val="00CC39FF"/>
    <w:rsid w:val="00CC3C2F"/>
    <w:rsid w:val="00CC4AC8"/>
    <w:rsid w:val="00CC5233"/>
    <w:rsid w:val="00CC5DE6"/>
    <w:rsid w:val="00CC6E4E"/>
    <w:rsid w:val="00CC6FE8"/>
    <w:rsid w:val="00CC7202"/>
    <w:rsid w:val="00CD2808"/>
    <w:rsid w:val="00CD28BF"/>
    <w:rsid w:val="00CD2B14"/>
    <w:rsid w:val="00CD4092"/>
    <w:rsid w:val="00CD4A20"/>
    <w:rsid w:val="00CD50A1"/>
    <w:rsid w:val="00CD519E"/>
    <w:rsid w:val="00CD54FE"/>
    <w:rsid w:val="00CE0C4F"/>
    <w:rsid w:val="00CE30EA"/>
    <w:rsid w:val="00CE4CE8"/>
    <w:rsid w:val="00CE57E9"/>
    <w:rsid w:val="00CF048A"/>
    <w:rsid w:val="00CF155A"/>
    <w:rsid w:val="00CF25D2"/>
    <w:rsid w:val="00CF2947"/>
    <w:rsid w:val="00CF44B1"/>
    <w:rsid w:val="00CF686F"/>
    <w:rsid w:val="00CF6E60"/>
    <w:rsid w:val="00CF7BCA"/>
    <w:rsid w:val="00D008FD"/>
    <w:rsid w:val="00D0292F"/>
    <w:rsid w:val="00D0321C"/>
    <w:rsid w:val="00D035EC"/>
    <w:rsid w:val="00D06AB1"/>
    <w:rsid w:val="00D06ED7"/>
    <w:rsid w:val="00D072ED"/>
    <w:rsid w:val="00D07A16"/>
    <w:rsid w:val="00D07E86"/>
    <w:rsid w:val="00D1067E"/>
    <w:rsid w:val="00D10F50"/>
    <w:rsid w:val="00D11272"/>
    <w:rsid w:val="00D126F5"/>
    <w:rsid w:val="00D14325"/>
    <w:rsid w:val="00D1489E"/>
    <w:rsid w:val="00D14ABD"/>
    <w:rsid w:val="00D20737"/>
    <w:rsid w:val="00D21E81"/>
    <w:rsid w:val="00D223DE"/>
    <w:rsid w:val="00D244EC"/>
    <w:rsid w:val="00D25E37"/>
    <w:rsid w:val="00D2661A"/>
    <w:rsid w:val="00D27582"/>
    <w:rsid w:val="00D32719"/>
    <w:rsid w:val="00D33333"/>
    <w:rsid w:val="00D352A2"/>
    <w:rsid w:val="00D36161"/>
    <w:rsid w:val="00D40A83"/>
    <w:rsid w:val="00D4162B"/>
    <w:rsid w:val="00D435C2"/>
    <w:rsid w:val="00D4514F"/>
    <w:rsid w:val="00D451E2"/>
    <w:rsid w:val="00D4545E"/>
    <w:rsid w:val="00D45D01"/>
    <w:rsid w:val="00D45E89"/>
    <w:rsid w:val="00D45E8D"/>
    <w:rsid w:val="00D466AE"/>
    <w:rsid w:val="00D4734F"/>
    <w:rsid w:val="00D51BF3"/>
    <w:rsid w:val="00D63276"/>
    <w:rsid w:val="00D63777"/>
    <w:rsid w:val="00D653D0"/>
    <w:rsid w:val="00D66846"/>
    <w:rsid w:val="00D675FB"/>
    <w:rsid w:val="00D70AE4"/>
    <w:rsid w:val="00D71F25"/>
    <w:rsid w:val="00D72A17"/>
    <w:rsid w:val="00D77031"/>
    <w:rsid w:val="00D84941"/>
    <w:rsid w:val="00D84FA1"/>
    <w:rsid w:val="00D851F0"/>
    <w:rsid w:val="00D86B9F"/>
    <w:rsid w:val="00D86DB7"/>
    <w:rsid w:val="00D926D0"/>
    <w:rsid w:val="00D93030"/>
    <w:rsid w:val="00D950E1"/>
    <w:rsid w:val="00D952A6"/>
    <w:rsid w:val="00D97F99"/>
    <w:rsid w:val="00DA094A"/>
    <w:rsid w:val="00DA19E7"/>
    <w:rsid w:val="00DA1E08"/>
    <w:rsid w:val="00DA24F8"/>
    <w:rsid w:val="00DA28E8"/>
    <w:rsid w:val="00DA38D3"/>
    <w:rsid w:val="00DA3932"/>
    <w:rsid w:val="00DA64F8"/>
    <w:rsid w:val="00DA6C15"/>
    <w:rsid w:val="00DA7370"/>
    <w:rsid w:val="00DB1B89"/>
    <w:rsid w:val="00DB38EE"/>
    <w:rsid w:val="00DB498B"/>
    <w:rsid w:val="00DB4A2A"/>
    <w:rsid w:val="00DB66CA"/>
    <w:rsid w:val="00DB6BCA"/>
    <w:rsid w:val="00DC0321"/>
    <w:rsid w:val="00DC3067"/>
    <w:rsid w:val="00DC370B"/>
    <w:rsid w:val="00DC39DA"/>
    <w:rsid w:val="00DC51C9"/>
    <w:rsid w:val="00DC5B90"/>
    <w:rsid w:val="00DD00CC"/>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CB3"/>
    <w:rsid w:val="00E02DFB"/>
    <w:rsid w:val="00E030F9"/>
    <w:rsid w:val="00E0311A"/>
    <w:rsid w:val="00E03138"/>
    <w:rsid w:val="00E03EE1"/>
    <w:rsid w:val="00E05998"/>
    <w:rsid w:val="00E06404"/>
    <w:rsid w:val="00E07050"/>
    <w:rsid w:val="00E07205"/>
    <w:rsid w:val="00E11A85"/>
    <w:rsid w:val="00E12495"/>
    <w:rsid w:val="00E15CCD"/>
    <w:rsid w:val="00E202EF"/>
    <w:rsid w:val="00E20878"/>
    <w:rsid w:val="00E210B5"/>
    <w:rsid w:val="00E2552F"/>
    <w:rsid w:val="00E3137A"/>
    <w:rsid w:val="00E32CCF"/>
    <w:rsid w:val="00E34A98"/>
    <w:rsid w:val="00E351FF"/>
    <w:rsid w:val="00E35D1E"/>
    <w:rsid w:val="00E364F9"/>
    <w:rsid w:val="00E365FA"/>
    <w:rsid w:val="00E3707D"/>
    <w:rsid w:val="00E40C94"/>
    <w:rsid w:val="00E44A83"/>
    <w:rsid w:val="00E502C1"/>
    <w:rsid w:val="00E502DD"/>
    <w:rsid w:val="00E50D3A"/>
    <w:rsid w:val="00E51387"/>
    <w:rsid w:val="00E51E68"/>
    <w:rsid w:val="00E52EFD"/>
    <w:rsid w:val="00E5408A"/>
    <w:rsid w:val="00E56800"/>
    <w:rsid w:val="00E60CD7"/>
    <w:rsid w:val="00E614DF"/>
    <w:rsid w:val="00E62FF9"/>
    <w:rsid w:val="00E635D6"/>
    <w:rsid w:val="00E639BC"/>
    <w:rsid w:val="00E664CC"/>
    <w:rsid w:val="00E70388"/>
    <w:rsid w:val="00E70F92"/>
    <w:rsid w:val="00E74C54"/>
    <w:rsid w:val="00E77A03"/>
    <w:rsid w:val="00E77F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5C0"/>
    <w:rsid w:val="00EA0A57"/>
    <w:rsid w:val="00EA1679"/>
    <w:rsid w:val="00EA1737"/>
    <w:rsid w:val="00EA3C09"/>
    <w:rsid w:val="00EA5756"/>
    <w:rsid w:val="00EA58D1"/>
    <w:rsid w:val="00EA61BC"/>
    <w:rsid w:val="00EA681A"/>
    <w:rsid w:val="00EA735B"/>
    <w:rsid w:val="00EB1E69"/>
    <w:rsid w:val="00EB2086"/>
    <w:rsid w:val="00EB5CA2"/>
    <w:rsid w:val="00EB5EDF"/>
    <w:rsid w:val="00EB60FE"/>
    <w:rsid w:val="00EB74DB"/>
    <w:rsid w:val="00EC5359"/>
    <w:rsid w:val="00EC562A"/>
    <w:rsid w:val="00ED067A"/>
    <w:rsid w:val="00ED2B50"/>
    <w:rsid w:val="00EE0350"/>
    <w:rsid w:val="00EE0719"/>
    <w:rsid w:val="00EE0E80"/>
    <w:rsid w:val="00EE613F"/>
    <w:rsid w:val="00EE7295"/>
    <w:rsid w:val="00EE7869"/>
    <w:rsid w:val="00EF043B"/>
    <w:rsid w:val="00EF054A"/>
    <w:rsid w:val="00EF11AB"/>
    <w:rsid w:val="00EF3235"/>
    <w:rsid w:val="00EF7E72"/>
    <w:rsid w:val="00F007AB"/>
    <w:rsid w:val="00F01090"/>
    <w:rsid w:val="00F06BCD"/>
    <w:rsid w:val="00F06D37"/>
    <w:rsid w:val="00F07B9D"/>
    <w:rsid w:val="00F11586"/>
    <w:rsid w:val="00F1183B"/>
    <w:rsid w:val="00F11C9F"/>
    <w:rsid w:val="00F12263"/>
    <w:rsid w:val="00F1409D"/>
    <w:rsid w:val="00F14214"/>
    <w:rsid w:val="00F146BD"/>
    <w:rsid w:val="00F157A9"/>
    <w:rsid w:val="00F25B8A"/>
    <w:rsid w:val="00F25BB6"/>
    <w:rsid w:val="00F26B7E"/>
    <w:rsid w:val="00F27746"/>
    <w:rsid w:val="00F27A3B"/>
    <w:rsid w:val="00F33817"/>
    <w:rsid w:val="00F36E93"/>
    <w:rsid w:val="00F420D5"/>
    <w:rsid w:val="00F43CDA"/>
    <w:rsid w:val="00F451EA"/>
    <w:rsid w:val="00F45447"/>
    <w:rsid w:val="00F456C6"/>
    <w:rsid w:val="00F4577B"/>
    <w:rsid w:val="00F46496"/>
    <w:rsid w:val="00F474D0"/>
    <w:rsid w:val="00F50179"/>
    <w:rsid w:val="00F51F4F"/>
    <w:rsid w:val="00F56511"/>
    <w:rsid w:val="00F6194E"/>
    <w:rsid w:val="00F623AC"/>
    <w:rsid w:val="00F635E0"/>
    <w:rsid w:val="00F6412A"/>
    <w:rsid w:val="00F6495D"/>
    <w:rsid w:val="00F65893"/>
    <w:rsid w:val="00F66A4A"/>
    <w:rsid w:val="00F71E22"/>
    <w:rsid w:val="00F72142"/>
    <w:rsid w:val="00F724E0"/>
    <w:rsid w:val="00F72AE7"/>
    <w:rsid w:val="00F84934"/>
    <w:rsid w:val="00F84FD0"/>
    <w:rsid w:val="00F859A8"/>
    <w:rsid w:val="00F867F0"/>
    <w:rsid w:val="00F906EC"/>
    <w:rsid w:val="00F9108B"/>
    <w:rsid w:val="00F91349"/>
    <w:rsid w:val="00F929D3"/>
    <w:rsid w:val="00F93A8A"/>
    <w:rsid w:val="00F9409C"/>
    <w:rsid w:val="00F95248"/>
    <w:rsid w:val="00F956A9"/>
    <w:rsid w:val="00F963ED"/>
    <w:rsid w:val="00F966CF"/>
    <w:rsid w:val="00F96CAE"/>
    <w:rsid w:val="00F97C99"/>
    <w:rsid w:val="00FA662D"/>
    <w:rsid w:val="00FA73B1"/>
    <w:rsid w:val="00FB0CB9"/>
    <w:rsid w:val="00FB1E1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4D34"/>
    <w:rsid w:val="00FE54AE"/>
    <w:rsid w:val="00FE576A"/>
    <w:rsid w:val="00FE61CF"/>
    <w:rsid w:val="00FE7E79"/>
    <w:rsid w:val="00FF0ABD"/>
    <w:rsid w:val="00FF3E7D"/>
    <w:rsid w:val="00FF5501"/>
    <w:rsid w:val="00FF5612"/>
    <w:rsid w:val="00FF5B99"/>
    <w:rsid w:val="00FF730C"/>
    <w:rsid w:val="00FF73F4"/>
    <w:rsid w:val="00FF7CE4"/>
    <w:rsid w:val="00FF7D33"/>
    <w:rsid w:val="00FF7E39"/>
    <w:rsid w:val="189F07A8"/>
    <w:rsid w:val="42140D53"/>
    <w:rsid w:val="4904746C"/>
    <w:rsid w:val="4A34714B"/>
    <w:rsid w:val="52EB15CF"/>
    <w:rsid w:val="6B7D56CA"/>
    <w:rsid w:val="6FED03BE"/>
    <w:rsid w:val="759A7968"/>
    <w:rsid w:val="7D1D5D51"/>
    <w:rsid w:val="7E946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0"/>
    <w:qFormat/>
    <w:uiPriority w:val="0"/>
    <w:pPr>
      <w:spacing w:after="120"/>
    </w:pPr>
  </w:style>
  <w:style w:type="paragraph" w:styleId="12">
    <w:name w:val="toc 7"/>
    <w:basedOn w:val="1"/>
    <w:next w:val="1"/>
    <w:autoRedefine/>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annotation text"/>
    <w:basedOn w:val="1"/>
    <w:link w:val="235"/>
    <w:unhideWhenUsed/>
    <w:qFormat/>
    <w:uiPriority w:val="99"/>
    <w:pPr>
      <w:jc w:val="left"/>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4"/>
    <w:next w:val="14"/>
    <w:link w:val="236"/>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3 字符"/>
    <w:link w:val="5"/>
    <w:qFormat/>
    <w:uiPriority w:val="0"/>
    <w:rPr>
      <w:rFonts w:ascii="Times New Roman" w:hAnsi="Times New Roman" w:eastAsia="宋体" w:cs="Times New Roman"/>
      <w:b/>
      <w:bCs/>
      <w:sz w:val="32"/>
      <w:szCs w:val="32"/>
    </w:rPr>
  </w:style>
  <w:style w:type="character" w:customStyle="1" w:styleId="39">
    <w:name w:val="标题 1 字符"/>
    <w:link w:val="3"/>
    <w:qFormat/>
    <w:uiPriority w:val="0"/>
    <w:rPr>
      <w:rFonts w:ascii="Times New Roman" w:hAnsi="Times New Roman" w:eastAsia="宋体" w:cs="Times New Roman"/>
      <w:b/>
      <w:bCs/>
      <w:kern w:val="44"/>
      <w:sz w:val="44"/>
      <w:szCs w:val="44"/>
    </w:rPr>
  </w:style>
  <w:style w:type="character" w:customStyle="1" w:styleId="40">
    <w:name w:val="标题 2 字符"/>
    <w:link w:val="4"/>
    <w:qFormat/>
    <w:uiPriority w:val="0"/>
    <w:rPr>
      <w:rFonts w:ascii="Arial" w:hAnsi="Arial" w:eastAsia="黑体" w:cs="Times New Roman"/>
      <w:b/>
      <w:bCs/>
      <w:sz w:val="32"/>
      <w:szCs w:val="32"/>
    </w:rPr>
  </w:style>
  <w:style w:type="character" w:customStyle="1" w:styleId="41">
    <w:name w:val="标题 4 字符"/>
    <w:link w:val="6"/>
    <w:qFormat/>
    <w:uiPriority w:val="0"/>
    <w:rPr>
      <w:rFonts w:ascii="Arial" w:hAnsi="Arial" w:eastAsia="黑体" w:cs="Times New Roman"/>
      <w:b/>
      <w:bCs/>
      <w:sz w:val="28"/>
      <w:szCs w:val="28"/>
    </w:rPr>
  </w:style>
  <w:style w:type="character" w:customStyle="1" w:styleId="42">
    <w:name w:val="标题 5 字符"/>
    <w:link w:val="7"/>
    <w:qFormat/>
    <w:uiPriority w:val="0"/>
    <w:rPr>
      <w:rFonts w:ascii="Times New Roman" w:hAnsi="Times New Roman" w:eastAsia="宋体" w:cs="Times New Roman"/>
      <w:b/>
      <w:bCs/>
      <w:sz w:val="28"/>
      <w:szCs w:val="28"/>
    </w:rPr>
  </w:style>
  <w:style w:type="character" w:customStyle="1" w:styleId="43">
    <w:name w:val="标题 6 字符"/>
    <w:link w:val="8"/>
    <w:qFormat/>
    <w:uiPriority w:val="0"/>
    <w:rPr>
      <w:rFonts w:ascii="Arial" w:hAnsi="Arial" w:eastAsia="黑体" w:cs="Times New Roman"/>
      <w:b/>
      <w:bCs/>
      <w:sz w:val="24"/>
      <w:szCs w:val="24"/>
    </w:rPr>
  </w:style>
  <w:style w:type="character" w:customStyle="1" w:styleId="44">
    <w:name w:val="标题 7 字符"/>
    <w:link w:val="9"/>
    <w:qFormat/>
    <w:uiPriority w:val="0"/>
    <w:rPr>
      <w:rFonts w:ascii="Times New Roman" w:hAnsi="Times New Roman" w:eastAsia="宋体" w:cs="Times New Roman"/>
      <w:b/>
      <w:bCs/>
      <w:sz w:val="24"/>
      <w:szCs w:val="24"/>
    </w:rPr>
  </w:style>
  <w:style w:type="character" w:customStyle="1" w:styleId="45">
    <w:name w:val="标题 8 字符"/>
    <w:link w:val="10"/>
    <w:qFormat/>
    <w:uiPriority w:val="0"/>
    <w:rPr>
      <w:rFonts w:ascii="Arial" w:hAnsi="Arial" w:eastAsia="黑体" w:cs="Times New Roman"/>
      <w:sz w:val="24"/>
      <w:szCs w:val="24"/>
    </w:rPr>
  </w:style>
  <w:style w:type="character" w:customStyle="1" w:styleId="46">
    <w:name w:val="标题 9 字符"/>
    <w:link w:val="11"/>
    <w:qFormat/>
    <w:uiPriority w:val="0"/>
    <w:rPr>
      <w:rFonts w:ascii="Arial" w:hAnsi="Arial" w:eastAsia="黑体" w:cs="Times New Roman"/>
      <w:szCs w:val="21"/>
    </w:rPr>
  </w:style>
  <w:style w:type="character" w:customStyle="1" w:styleId="47">
    <w:name w:val="页眉 字符"/>
    <w:link w:val="19"/>
    <w:qFormat/>
    <w:uiPriority w:val="99"/>
    <w:rPr>
      <w:rFonts w:ascii="Times New Roman" w:hAnsi="Times New Roman" w:eastAsia="宋体" w:cs="Times New Roman"/>
      <w:sz w:val="18"/>
      <w:szCs w:val="18"/>
    </w:rPr>
  </w:style>
  <w:style w:type="character" w:customStyle="1" w:styleId="48">
    <w:name w:val="页脚 字符"/>
    <w:link w:val="18"/>
    <w:qFormat/>
    <w:uiPriority w:val="99"/>
    <w:rPr>
      <w:rFonts w:ascii="宋体" w:hAnsi="Times New Roman" w:eastAsia="宋体" w:cs="Times New Roman"/>
      <w:sz w:val="18"/>
      <w:szCs w:val="18"/>
    </w:rPr>
  </w:style>
  <w:style w:type="character" w:customStyle="1" w:styleId="49">
    <w:name w:val="批注框文本 字符"/>
    <w:link w:val="17"/>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2"/>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hAnsi="Times New Roman" w:eastAsia="宋体" w:cs="Times New Roman"/>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124"/>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段"/>
    <w:qFormat/>
    <w:uiPriority w:val="0"/>
    <w:pPr>
      <w:autoSpaceDE w:val="0"/>
      <w:autoSpaceDN w:val="0"/>
      <w:ind w:firstLine="200"/>
      <w:jc w:val="both"/>
    </w:pPr>
    <w:rPr>
      <w:rFonts w:ascii="宋体" w:hAnsi="Times New Roman" w:eastAsia="宋体" w:cs="CG Times"/>
      <w:sz w:val="21"/>
      <w:szCs w:val="22"/>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0"/>
    <w:qFormat/>
    <w:uiPriority w:val="0"/>
    <w:pPr>
      <w:outlineLvl w:val="4"/>
    </w:pPr>
  </w:style>
  <w:style w:type="paragraph" w:customStyle="1" w:styleId="135">
    <w:name w:val="附录四级无标题条"/>
    <w:basedOn w:val="134"/>
    <w:next w:val="60"/>
    <w:qFormat/>
    <w:uiPriority w:val="0"/>
    <w:pPr>
      <w:outlineLvl w:val="5"/>
    </w:pPr>
  </w:style>
  <w:style w:type="paragraph" w:customStyle="1" w:styleId="136">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0"/>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1"/>
    <w:next w:val="60"/>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0"/>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autoRedefine/>
    <w:semiHidden/>
    <w:qFormat/>
    <w:uiPriority w:val="0"/>
    <w:pPr>
      <w:adjustRightInd/>
      <w:spacing w:line="240" w:lineRule="auto"/>
      <w:jc w:val="left"/>
    </w:pPr>
    <w:rPr>
      <w:bCs/>
      <w:iCs/>
    </w:rPr>
  </w:style>
  <w:style w:type="paragraph" w:customStyle="1" w:styleId="148">
    <w:name w:val="目录 31"/>
    <w:basedOn w:val="1"/>
    <w:next w:val="1"/>
    <w:autoRedefine/>
    <w:semiHidden/>
    <w:qFormat/>
    <w:uiPriority w:val="0"/>
    <w:pPr>
      <w:spacing w:line="240" w:lineRule="auto"/>
    </w:pPr>
    <w:rPr>
      <w:rFonts w:ascii="宋体" w:hAnsi="宋体"/>
      <w:iCs/>
    </w:rPr>
  </w:style>
  <w:style w:type="paragraph" w:customStyle="1" w:styleId="149">
    <w:name w:val="目录 41"/>
    <w:basedOn w:val="1"/>
    <w:next w:val="1"/>
    <w:autoRedefine/>
    <w:semiHidden/>
    <w:qFormat/>
    <w:uiPriority w:val="0"/>
    <w:pPr>
      <w:adjustRightInd/>
      <w:spacing w:line="240" w:lineRule="auto"/>
      <w:jc w:val="left"/>
    </w:pPr>
  </w:style>
  <w:style w:type="paragraph" w:customStyle="1" w:styleId="150">
    <w:name w:val="目录 51"/>
    <w:basedOn w:val="1"/>
    <w:next w:val="1"/>
    <w:autoRedefine/>
    <w:semiHidden/>
    <w:qFormat/>
    <w:uiPriority w:val="0"/>
    <w:pPr>
      <w:spacing w:line="240" w:lineRule="auto"/>
    </w:pPr>
    <w:rPr>
      <w:rFonts w:ascii="宋体" w:hAnsi="宋体"/>
    </w:rPr>
  </w:style>
  <w:style w:type="paragraph" w:customStyle="1" w:styleId="151">
    <w:name w:val="目录 61"/>
    <w:basedOn w:val="1"/>
    <w:next w:val="1"/>
    <w:autoRedefine/>
    <w:semiHidden/>
    <w:qFormat/>
    <w:uiPriority w:val="0"/>
    <w:pPr>
      <w:adjustRightInd/>
      <w:spacing w:line="240" w:lineRule="auto"/>
      <w:jc w:val="left"/>
    </w:pPr>
  </w:style>
  <w:style w:type="paragraph" w:customStyle="1" w:styleId="152">
    <w:name w:val="目录 71"/>
    <w:basedOn w:val="151"/>
    <w:autoRedefine/>
    <w:semiHidden/>
    <w:qFormat/>
    <w:uiPriority w:val="0"/>
    <w:pPr>
      <w:ind w:left="1260"/>
    </w:pPr>
  </w:style>
  <w:style w:type="paragraph" w:customStyle="1" w:styleId="153">
    <w:name w:val="目录 81"/>
    <w:basedOn w:val="152"/>
    <w:autoRedefine/>
    <w:semiHidden/>
    <w:qFormat/>
    <w:uiPriority w:val="0"/>
    <w:pPr>
      <w:ind w:left="1470"/>
    </w:pPr>
  </w:style>
  <w:style w:type="paragraph" w:customStyle="1" w:styleId="154">
    <w:name w:val="目录 91"/>
    <w:basedOn w:val="153"/>
    <w:autoRedefine/>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3"/>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0"/>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09"/>
    <w:qFormat/>
    <w:uiPriority w:val="0"/>
    <w:pPr>
      <w:spacing w:before="0" w:beforeLines="0" w:after="0" w:afterLines="0"/>
      <w:outlineLvl w:val="9"/>
    </w:pPr>
    <w:rPr>
      <w:rFonts w:ascii="宋体" w:eastAsia="宋体"/>
    </w:rPr>
  </w:style>
  <w:style w:type="paragraph" w:customStyle="1" w:styleId="168">
    <w:name w:val="标准文件_五级无标题"/>
    <w:basedOn w:val="107"/>
    <w:qFormat/>
    <w:uiPriority w:val="0"/>
    <w:pPr>
      <w:spacing w:before="0" w:beforeLines="0" w:after="0" w:afterLines="0"/>
      <w:outlineLvl w:val="9"/>
    </w:pPr>
    <w:rPr>
      <w:rFonts w:ascii="宋体" w:eastAsia="宋体"/>
    </w:rPr>
  </w:style>
  <w:style w:type="paragraph" w:customStyle="1" w:styleId="169">
    <w:name w:val="标准文件_三级无标题"/>
    <w:basedOn w:val="98"/>
    <w:qFormat/>
    <w:uiPriority w:val="0"/>
    <w:pPr>
      <w:spacing w:before="0" w:beforeLines="0" w:after="0" w:afterLines="0"/>
      <w:outlineLvl w:val="9"/>
    </w:pPr>
    <w:rPr>
      <w:rFonts w:ascii="宋体" w:eastAsia="宋体"/>
    </w:rPr>
  </w:style>
  <w:style w:type="paragraph" w:customStyle="1" w:styleId="170">
    <w:name w:val="标准文件_二级无标题"/>
    <w:basedOn w:val="69"/>
    <w:qFormat/>
    <w:uiPriority w:val="0"/>
    <w:pPr>
      <w:spacing w:before="0" w:beforeLines="0" w:after="0" w:afterLines="0"/>
      <w:outlineLvl w:val="9"/>
    </w:pPr>
    <w:rPr>
      <w:rFonts w:ascii="宋体" w:eastAsia="宋体"/>
    </w:rPr>
  </w:style>
  <w:style w:type="paragraph" w:customStyle="1" w:styleId="171">
    <w:name w:val="标准_四级无标题"/>
    <w:basedOn w:val="102"/>
    <w:next w:val="60"/>
    <w:qFormat/>
    <w:uiPriority w:val="0"/>
    <w:rPr>
      <w:rFonts w:eastAsia="宋体"/>
    </w:rPr>
  </w:style>
  <w:style w:type="paragraph" w:customStyle="1" w:styleId="172">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0"/>
    <w:qFormat/>
    <w:uiPriority w:val="0"/>
    <w:pPr>
      <w:numPr>
        <w:ilvl w:val="0"/>
        <w:numId w:val="24"/>
      </w:numPr>
      <w:ind w:firstLine="0" w:firstLineChars="0"/>
    </w:pPr>
    <w:rPr>
      <w:rFonts w:cs="Arial"/>
      <w:szCs w:val="28"/>
    </w:rPr>
  </w:style>
  <w:style w:type="paragraph" w:customStyle="1" w:styleId="175">
    <w:name w:val="标准文件_附录标题"/>
    <w:basedOn w:val="80"/>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0"/>
    <w:qFormat/>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0"/>
    <w:qFormat/>
    <w:uiPriority w:val="0"/>
    <w:pPr>
      <w:ind w:firstLine="0" w:firstLineChars="0"/>
      <w:jc w:val="center"/>
    </w:pPr>
    <w:rPr>
      <w:sz w:val="18"/>
    </w:rPr>
  </w:style>
  <w:style w:type="paragraph" w:customStyle="1" w:styleId="184">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0"/>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0"/>
    <w:qFormat/>
    <w:uiPriority w:val="0"/>
    <w:rPr>
      <w:rFonts w:ascii="宋体" w:hAnsi="Times New Roman"/>
      <w:sz w:val="21"/>
    </w:rPr>
  </w:style>
  <w:style w:type="paragraph" w:customStyle="1" w:styleId="190">
    <w:name w:val="标准文件_表格续"/>
    <w:basedOn w:val="60"/>
    <w:next w:val="60"/>
    <w:qFormat/>
    <w:uiPriority w:val="0"/>
    <w:pPr>
      <w:jc w:val="center"/>
    </w:pPr>
    <w:rPr>
      <w:rFonts w:ascii="黑体" w:hAnsi="黑体" w:eastAsia="黑体"/>
    </w:rPr>
  </w:style>
  <w:style w:type="character" w:styleId="191">
    <w:name w:val="Placeholder Text"/>
    <w:basedOn w:val="31"/>
    <w:semiHidden/>
    <w:qFormat/>
    <w:uiPriority w:val="99"/>
    <w:rPr>
      <w:color w:val="808080"/>
    </w:rPr>
  </w:style>
  <w:style w:type="paragraph" w:customStyle="1" w:styleId="192">
    <w:name w:val="标准文件_二级项2"/>
    <w:basedOn w:val="60"/>
    <w:qFormat/>
    <w:uiPriority w:val="0"/>
    <w:pPr>
      <w:numPr>
        <w:ilvl w:val="1"/>
        <w:numId w:val="21"/>
      </w:numPr>
      <w:ind w:left="1271" w:hanging="420" w:firstLineChars="0"/>
    </w:pPr>
  </w:style>
  <w:style w:type="paragraph" w:customStyle="1" w:styleId="193">
    <w:name w:val="标准文件_三级项2"/>
    <w:basedOn w:val="60"/>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0"/>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0"/>
    <w:next w:val="60"/>
    <w:qFormat/>
    <w:uiPriority w:val="0"/>
    <w:pPr>
      <w:ind w:firstLine="420"/>
    </w:pPr>
    <w:rPr>
      <w:rFonts w:ascii="黑体" w:eastAsia="黑体"/>
    </w:rPr>
  </w:style>
  <w:style w:type="character" w:customStyle="1" w:styleId="196">
    <w:name w:val="标准文件_来源"/>
    <w:basedOn w:val="31"/>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spacing w:before="57"/>
    </w:pPr>
    <w:rPr>
      <w:sz w:val="21"/>
    </w:rPr>
  </w:style>
  <w:style w:type="paragraph" w:customStyle="1" w:styleId="202">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0"/>
    <w:qFormat/>
    <w:uiPriority w:val="0"/>
    <w:pPr>
      <w:ind w:left="811" w:firstLine="0" w:firstLineChars="0"/>
    </w:pPr>
    <w:rPr>
      <w:sz w:val="18"/>
    </w:rPr>
  </w:style>
  <w:style w:type="paragraph" w:customStyle="1" w:styleId="211">
    <w:name w:val="标准文件_注X后"/>
    <w:basedOn w:val="60"/>
    <w:qFormat/>
    <w:uiPriority w:val="0"/>
    <w:pPr>
      <w:ind w:left="811" w:firstLine="0" w:firstLineChars="0"/>
    </w:pPr>
    <w:rPr>
      <w:sz w:val="18"/>
    </w:rPr>
  </w:style>
  <w:style w:type="paragraph" w:customStyle="1" w:styleId="212">
    <w:name w:val="标准文件_示例后"/>
    <w:basedOn w:val="60"/>
    <w:qFormat/>
    <w:uiPriority w:val="0"/>
    <w:pPr>
      <w:ind w:left="964" w:firstLine="0" w:firstLineChars="0"/>
    </w:pPr>
    <w:rPr>
      <w:sz w:val="18"/>
    </w:rPr>
  </w:style>
  <w:style w:type="paragraph" w:customStyle="1" w:styleId="213">
    <w:name w:val="标准文件_示例X后"/>
    <w:basedOn w:val="60"/>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0"/>
    <w:next w:val="60"/>
    <w:qFormat/>
    <w:uiPriority w:val="0"/>
    <w:pPr>
      <w:tabs>
        <w:tab w:val="right" w:leader="dot" w:pos="9356"/>
      </w:tabs>
      <w:ind w:left="210" w:hanging="210" w:firstLineChars="0"/>
      <w:jc w:val="left"/>
    </w:pPr>
  </w:style>
  <w:style w:type="paragraph" w:customStyle="1" w:styleId="216">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0"/>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0"/>
    <w:qFormat/>
    <w:uiPriority w:val="0"/>
    <w:pPr>
      <w:spacing w:before="0" w:beforeLines="0" w:after="0" w:afterLines="0" w:line="276" w:lineRule="auto"/>
    </w:pPr>
    <w:rPr>
      <w:rFonts w:ascii="宋体" w:eastAsia="宋体"/>
    </w:rPr>
  </w:style>
  <w:style w:type="paragraph" w:customStyle="1" w:styleId="226">
    <w:name w:val="标准文件_索引标题"/>
    <w:basedOn w:val="67"/>
    <w:next w:val="60"/>
    <w:qFormat/>
    <w:uiPriority w:val="0"/>
    <w:rPr>
      <w:rFonts w:hAnsi="黑体"/>
    </w:rPr>
  </w:style>
  <w:style w:type="paragraph" w:customStyle="1" w:styleId="227">
    <w:name w:val="标准文件_脚注内容"/>
    <w:basedOn w:val="60"/>
    <w:qFormat/>
    <w:uiPriority w:val="0"/>
    <w:pPr>
      <w:ind w:left="400" w:leftChars="200" w:hanging="200" w:hangingChars="200"/>
    </w:pPr>
    <w:rPr>
      <w:sz w:val="15"/>
    </w:rPr>
  </w:style>
  <w:style w:type="paragraph" w:customStyle="1" w:styleId="228">
    <w:name w:val="标准文件_术语条一"/>
    <w:basedOn w:val="167"/>
    <w:next w:val="60"/>
    <w:qFormat/>
    <w:uiPriority w:val="0"/>
  </w:style>
  <w:style w:type="paragraph" w:customStyle="1" w:styleId="229">
    <w:name w:val="标准文件_术语条二"/>
    <w:basedOn w:val="170"/>
    <w:next w:val="60"/>
    <w:qFormat/>
    <w:uiPriority w:val="0"/>
  </w:style>
  <w:style w:type="paragraph" w:customStyle="1" w:styleId="230">
    <w:name w:val="标准文件_术语条三"/>
    <w:basedOn w:val="169"/>
    <w:next w:val="60"/>
    <w:qFormat/>
    <w:uiPriority w:val="0"/>
  </w:style>
  <w:style w:type="paragraph" w:customStyle="1" w:styleId="231">
    <w:name w:val="标准文件_术语条四"/>
    <w:basedOn w:val="172"/>
    <w:next w:val="60"/>
    <w:qFormat/>
    <w:uiPriority w:val="0"/>
  </w:style>
  <w:style w:type="paragraph" w:customStyle="1" w:styleId="232">
    <w:name w:val="标准文件_术语条五"/>
    <w:basedOn w:val="168"/>
    <w:next w:val="60"/>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4">
    <w:name w:val="修订1"/>
    <w:hidden/>
    <w:semiHidden/>
    <w:qFormat/>
    <w:uiPriority w:val="99"/>
    <w:rPr>
      <w:rFonts w:ascii="Calibri" w:hAnsi="Calibri" w:eastAsia="宋体" w:cs="Times New Roman"/>
      <w:kern w:val="2"/>
      <w:sz w:val="21"/>
      <w:szCs w:val="21"/>
      <w:lang w:val="en-US" w:eastAsia="zh-CN" w:bidi="ar-SA"/>
    </w:rPr>
  </w:style>
  <w:style w:type="character" w:customStyle="1" w:styleId="235">
    <w:name w:val="批注文字 字符"/>
    <w:basedOn w:val="31"/>
    <w:link w:val="14"/>
    <w:qFormat/>
    <w:uiPriority w:val="99"/>
    <w:rPr>
      <w:kern w:val="2"/>
      <w:sz w:val="21"/>
      <w:szCs w:val="21"/>
    </w:rPr>
  </w:style>
  <w:style w:type="character" w:customStyle="1" w:styleId="236">
    <w:name w:val="批注主题 字符"/>
    <w:basedOn w:val="235"/>
    <w:link w:val="28"/>
    <w:semiHidden/>
    <w:qFormat/>
    <w:uiPriority w:val="99"/>
    <w:rPr>
      <w:b/>
      <w:bCs/>
      <w:kern w:val="2"/>
      <w:sz w:val="21"/>
      <w:szCs w:val="21"/>
    </w:rPr>
  </w:style>
  <w:style w:type="character" w:customStyle="1" w:styleId="237">
    <w:name w:val="发布"/>
    <w:qFormat/>
    <w:uiPriority w:val="99"/>
    <w:rPr>
      <w:rFonts w:ascii="黑体" w:eastAsia="黑体"/>
      <w:spacing w:val="22"/>
      <w:w w:val="100"/>
      <w:position w:val="3"/>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3.emf"/><Relationship Id="rId24" Type="http://schemas.openxmlformats.org/officeDocument/2006/relationships/package" Target="embeddings/Microsoft_Visio___1.vsdx"/><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2FE866EAFB541B893424BEF58328ED9"/>
        <w:style w:val=""/>
        <w:category>
          <w:name w:val="常规"/>
          <w:gallery w:val="placeholder"/>
        </w:category>
        <w:types>
          <w:type w:val="bbPlcHdr"/>
        </w:types>
        <w:behaviors>
          <w:behavior w:val="content"/>
        </w:behaviors>
        <w:description w:val=""/>
        <w:guid w:val="{EC7A2ECE-CF7B-43BB-9FD1-3F6B992948D2}"/>
      </w:docPartPr>
      <w:docPartBody>
        <w:p w14:paraId="3CFF1B03">
          <w:pPr>
            <w:pStyle w:val="5"/>
            <w:rPr>
              <w:rFonts w:hint="eastAsia"/>
            </w:rPr>
          </w:pPr>
          <w:r>
            <w:rPr>
              <w:rStyle w:val="4"/>
              <w:rFonts w:hint="eastAsia"/>
            </w:rPr>
            <w:t>单击或点击此处输入文字。</w:t>
          </w:r>
        </w:p>
      </w:docPartBody>
    </w:docPart>
    <w:docPart>
      <w:docPartPr>
        <w:name w:val="80B939589B8D40D1A5BAA1B6E769CC9C"/>
        <w:style w:val=""/>
        <w:category>
          <w:name w:val="常规"/>
          <w:gallery w:val="placeholder"/>
        </w:category>
        <w:types>
          <w:type w:val="bbPlcHdr"/>
        </w:types>
        <w:behaviors>
          <w:behavior w:val="content"/>
        </w:behaviors>
        <w:description w:val=""/>
        <w:guid w:val="{146B61A7-D3D2-41D0-A204-F8F9BF498429}"/>
      </w:docPartPr>
      <w:docPartBody>
        <w:p w14:paraId="6DD5B024">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公文楷体">
    <w:panose1 w:val="02000500000000000000"/>
    <w:charset w:val="86"/>
    <w:family w:val="auto"/>
    <w:pitch w:val="default"/>
    <w:sig w:usb0="A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6B"/>
    <w:rsid w:val="00001C5C"/>
    <w:rsid w:val="0000207B"/>
    <w:rsid w:val="0004249D"/>
    <w:rsid w:val="00051EBA"/>
    <w:rsid w:val="00064496"/>
    <w:rsid w:val="00083BD6"/>
    <w:rsid w:val="000961B3"/>
    <w:rsid w:val="000B6561"/>
    <w:rsid w:val="000E426B"/>
    <w:rsid w:val="00106743"/>
    <w:rsid w:val="001460A7"/>
    <w:rsid w:val="001C094C"/>
    <w:rsid w:val="001E7B1B"/>
    <w:rsid w:val="00214C4B"/>
    <w:rsid w:val="00236954"/>
    <w:rsid w:val="00284259"/>
    <w:rsid w:val="002A5011"/>
    <w:rsid w:val="00313FC2"/>
    <w:rsid w:val="00341E8C"/>
    <w:rsid w:val="004321BA"/>
    <w:rsid w:val="00435069"/>
    <w:rsid w:val="00481332"/>
    <w:rsid w:val="004A4314"/>
    <w:rsid w:val="004B04A3"/>
    <w:rsid w:val="004D1F14"/>
    <w:rsid w:val="00532F5E"/>
    <w:rsid w:val="00546957"/>
    <w:rsid w:val="00555EFE"/>
    <w:rsid w:val="005A4E07"/>
    <w:rsid w:val="005E238A"/>
    <w:rsid w:val="005F10E3"/>
    <w:rsid w:val="005F31B2"/>
    <w:rsid w:val="0061063E"/>
    <w:rsid w:val="006261EB"/>
    <w:rsid w:val="007C43AB"/>
    <w:rsid w:val="0084629B"/>
    <w:rsid w:val="00921F69"/>
    <w:rsid w:val="009A3914"/>
    <w:rsid w:val="009B0442"/>
    <w:rsid w:val="009C3707"/>
    <w:rsid w:val="009D4D52"/>
    <w:rsid w:val="00A13B5F"/>
    <w:rsid w:val="00A31DEE"/>
    <w:rsid w:val="00A33ABD"/>
    <w:rsid w:val="00B232DD"/>
    <w:rsid w:val="00B40E93"/>
    <w:rsid w:val="00B45776"/>
    <w:rsid w:val="00B97956"/>
    <w:rsid w:val="00BA742E"/>
    <w:rsid w:val="00C16494"/>
    <w:rsid w:val="00C77DB1"/>
    <w:rsid w:val="00CA37DD"/>
    <w:rsid w:val="00CA5DF9"/>
    <w:rsid w:val="00D75616"/>
    <w:rsid w:val="00D8455B"/>
    <w:rsid w:val="00D911B8"/>
    <w:rsid w:val="00DA29A2"/>
    <w:rsid w:val="00DB6534"/>
    <w:rsid w:val="00EA1737"/>
    <w:rsid w:val="00EF3E7A"/>
    <w:rsid w:val="00F04479"/>
    <w:rsid w:val="00FE2F9D"/>
    <w:rsid w:val="00FF5612"/>
    <w:rsid w:val="00FF7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2FE866EAFB541B893424BEF58328E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0B939589B8D40D1A5BAA1B6E769CC9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国家标准.dotx</Template>
  <Company>PCMI</Company>
  <Pages>26</Pages>
  <Words>692</Words>
  <Characters>769</Characters>
  <Lines>101</Lines>
  <Paragraphs>28</Paragraphs>
  <TotalTime>12</TotalTime>
  <ScaleCrop>false</ScaleCrop>
  <LinksUpToDate>false</LinksUpToDate>
  <CharactersWithSpaces>830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2024-07-23T14:57:00Z</dcterms:created>
  <dc:creator>王皖</dc:creator>
  <dc:description>&lt;config cover="true" show_menu="true" version="1.0.0" doctype="SDKXY"&gt;_x000d_
&lt;/config&gt;</dc:description>
  <cp:lastModifiedBy>jiao</cp:lastModifiedBy>
  <cp:lastPrinted>2023-07-17T04:23:00Z</cp:lastPrinted>
  <dcterms:modified xsi:type="dcterms:W3CDTF">2024-12-31T07:56:22Z</dcterms:modified>
  <dc:title>国家标准</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0EE9004F342D47E6ABF27EE0BFC56B6B_13</vt:lpwstr>
  </property>
  <property fmtid="{D5CDD505-2E9C-101B-9397-08002B2CF9AE}" pid="16" name="KSOTemplateDocerSaveRecord">
    <vt:lpwstr>eyJoZGlkIjoiOGJiMGFmMGEzYWQ0ZTkzYjc2NjIzMmZkMWQ5NzU3N2YiLCJ1c2VySWQiOiIyNTY3MTE5MDIifQ==</vt:lpwstr>
  </property>
</Properties>
</file>