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9124" w14:textId="77777777" w:rsidR="00B76BBB" w:rsidRDefault="00B76BBB" w:rsidP="00551A3D">
      <w:pPr>
        <w:widowControl/>
        <w:shd w:val="clear" w:color="auto" w:fill="FFFFFF"/>
        <w:spacing w:line="560" w:lineRule="atLeast"/>
        <w:jc w:val="center"/>
        <w:rPr>
          <w:rFonts w:ascii="方正小标宋简体" w:eastAsia="方正小标宋简体" w:hAnsi="方正小标宋简体" w:cs="宋体" w:hint="eastAsia"/>
          <w:color w:val="333333"/>
          <w:kern w:val="0"/>
          <w:sz w:val="40"/>
          <w:szCs w:val="40"/>
          <w:bdr w:val="none" w:sz="0" w:space="0" w:color="auto" w:frame="1"/>
        </w:rPr>
      </w:pPr>
    </w:p>
    <w:p w14:paraId="2CC63648" w14:textId="2D3DA92B" w:rsidR="00551A3D" w:rsidRPr="0006613A" w:rsidRDefault="00551A3D" w:rsidP="00551A3D">
      <w:pPr>
        <w:widowControl/>
        <w:shd w:val="clear" w:color="auto" w:fill="FFFFFF"/>
        <w:spacing w:line="560" w:lineRule="atLeast"/>
        <w:jc w:val="center"/>
        <w:rPr>
          <w:rFonts w:ascii="方正小标宋简体" w:eastAsia="方正小标宋简体" w:hAnsi="方正小标宋简体" w:cs="宋体" w:hint="eastAsia"/>
          <w:color w:val="333333"/>
          <w:kern w:val="0"/>
          <w:sz w:val="32"/>
          <w:szCs w:val="32"/>
        </w:rPr>
      </w:pPr>
      <w:r w:rsidRPr="0006613A">
        <w:rPr>
          <w:rFonts w:ascii="方正小标宋简体" w:eastAsia="方正小标宋简体" w:hAnsi="方正小标宋简体" w:cs="宋体" w:hint="eastAsia"/>
          <w:color w:val="333333"/>
          <w:kern w:val="0"/>
          <w:sz w:val="40"/>
          <w:szCs w:val="40"/>
          <w:bdr w:val="none" w:sz="0" w:space="0" w:color="auto" w:frame="1"/>
        </w:rPr>
        <w:t>陕西省应急管理厅公布</w:t>
      </w:r>
      <w:r w:rsidRPr="0006613A">
        <w:rPr>
          <w:rFonts w:ascii="方正小标宋简体" w:eastAsia="方正小标宋简体" w:hAnsi="方正小标宋简体" w:cs="Calibri" w:hint="eastAsia"/>
          <w:color w:val="333333"/>
          <w:kern w:val="0"/>
          <w:sz w:val="40"/>
          <w:szCs w:val="40"/>
          <w:bdr w:val="none" w:sz="0" w:space="0" w:color="auto" w:frame="1"/>
        </w:rPr>
        <w:t>2025</w:t>
      </w:r>
      <w:r w:rsidRPr="0006613A">
        <w:rPr>
          <w:rFonts w:ascii="方正小标宋简体" w:eastAsia="方正小标宋简体" w:hAnsi="方正小标宋简体" w:cs="宋体" w:hint="eastAsia"/>
          <w:color w:val="333333"/>
          <w:kern w:val="0"/>
          <w:sz w:val="40"/>
          <w:szCs w:val="40"/>
          <w:bdr w:val="none" w:sz="0" w:space="0" w:color="auto" w:frame="1"/>
        </w:rPr>
        <w:t>年</w:t>
      </w:r>
    </w:p>
    <w:p w14:paraId="4B1D34A8" w14:textId="78C44F60" w:rsidR="00551A3D" w:rsidRPr="0006613A" w:rsidRDefault="00551A3D" w:rsidP="00551A3D">
      <w:pPr>
        <w:widowControl/>
        <w:shd w:val="clear" w:color="auto" w:fill="FFFFFF"/>
        <w:spacing w:line="560" w:lineRule="atLeast"/>
        <w:jc w:val="center"/>
        <w:rPr>
          <w:rFonts w:ascii="方正小标宋简体" w:eastAsia="方正小标宋简体" w:hAnsi="方正小标宋简体" w:cs="宋体" w:hint="eastAsia"/>
          <w:color w:val="333333"/>
          <w:kern w:val="0"/>
          <w:sz w:val="32"/>
          <w:szCs w:val="32"/>
        </w:rPr>
      </w:pPr>
      <w:r w:rsidRPr="0006613A">
        <w:rPr>
          <w:rFonts w:ascii="方正小标宋简体" w:eastAsia="方正小标宋简体" w:hAnsi="方正小标宋简体" w:cs="宋体" w:hint="eastAsia"/>
          <w:color w:val="333333"/>
          <w:kern w:val="0"/>
          <w:sz w:val="40"/>
          <w:szCs w:val="40"/>
          <w:bdr w:val="none" w:sz="0" w:space="0" w:color="auto" w:frame="1"/>
        </w:rPr>
        <w:t>煤矿典型执法案例</w:t>
      </w:r>
    </w:p>
    <w:p w14:paraId="6513E119" w14:textId="77777777" w:rsidR="0006613A" w:rsidRDefault="0006613A" w:rsidP="00551A3D">
      <w:pPr>
        <w:spacing w:line="560" w:lineRule="exact"/>
        <w:ind w:firstLineChars="200" w:firstLine="640"/>
        <w:rPr>
          <w:rFonts w:ascii="仿宋_GB2312" w:eastAsia="仿宋_GB2312" w:hAnsi="宋体" w:cs="宋体" w:hint="eastAsia"/>
          <w:color w:val="333333"/>
          <w:kern w:val="0"/>
          <w:sz w:val="32"/>
          <w:szCs w:val="32"/>
          <w:bdr w:val="none" w:sz="0" w:space="0" w:color="auto" w:frame="1"/>
        </w:rPr>
      </w:pPr>
    </w:p>
    <w:p w14:paraId="633614BB" w14:textId="51463BF9" w:rsidR="00551A3D" w:rsidRPr="00551A3D" w:rsidRDefault="00551A3D" w:rsidP="00551A3D">
      <w:pPr>
        <w:spacing w:line="560" w:lineRule="exact"/>
        <w:ind w:firstLineChars="200" w:firstLine="640"/>
        <w:rPr>
          <w:rFonts w:ascii="仿宋_GB2312" w:eastAsia="仿宋_GB2312" w:hint="eastAsia"/>
          <w:sz w:val="32"/>
          <w:szCs w:val="32"/>
        </w:rPr>
      </w:pPr>
      <w:r w:rsidRPr="00551A3D">
        <w:rPr>
          <w:rFonts w:ascii="仿宋_GB2312" w:eastAsia="仿宋_GB2312" w:hAnsi="宋体" w:cs="宋体" w:hint="eastAsia"/>
          <w:color w:val="333333"/>
          <w:kern w:val="0"/>
          <w:sz w:val="32"/>
          <w:szCs w:val="32"/>
          <w:bdr w:val="none" w:sz="0" w:space="0" w:color="auto" w:frame="1"/>
        </w:rPr>
        <w:t>为督促煤矿认真落实安全生产主体责任，以案为鉴深刻汲取教训，增强依法办矿管矿意识，</w:t>
      </w:r>
      <w:r>
        <w:rPr>
          <w:rFonts w:ascii="仿宋_GB2312" w:eastAsia="仿宋_GB2312" w:hAnsi="宋体" w:cs="宋体" w:hint="eastAsia"/>
          <w:color w:val="333333"/>
          <w:kern w:val="0"/>
          <w:sz w:val="32"/>
          <w:szCs w:val="32"/>
          <w:bdr w:val="none" w:sz="0" w:space="0" w:color="auto" w:frame="1"/>
        </w:rPr>
        <w:t>陕西省应急管理厅</w:t>
      </w:r>
      <w:r w:rsidRPr="00551A3D">
        <w:rPr>
          <w:rFonts w:ascii="仿宋_GB2312" w:eastAsia="仿宋_GB2312" w:hAnsi="宋体" w:cs="宋体" w:hint="eastAsia"/>
          <w:color w:val="333333"/>
          <w:kern w:val="0"/>
          <w:sz w:val="32"/>
          <w:szCs w:val="32"/>
          <w:bdr w:val="none" w:sz="0" w:space="0" w:color="auto" w:frame="1"/>
        </w:rPr>
        <w:t>筛选了</w:t>
      </w:r>
      <w:r w:rsidR="0006613A">
        <w:rPr>
          <w:rFonts w:ascii="仿宋_GB2312" w:eastAsia="仿宋_GB2312" w:hAnsi="Times New Roman" w:cs="Times New Roman" w:hint="eastAsia"/>
          <w:color w:val="333333"/>
          <w:kern w:val="0"/>
          <w:sz w:val="32"/>
          <w:szCs w:val="32"/>
          <w:bdr w:val="none" w:sz="0" w:space="0" w:color="auto" w:frame="1"/>
        </w:rPr>
        <w:t>6</w:t>
      </w:r>
      <w:r w:rsidRPr="00551A3D">
        <w:rPr>
          <w:rFonts w:ascii="仿宋_GB2312" w:eastAsia="仿宋_GB2312" w:hAnsi="宋体" w:cs="宋体" w:hint="eastAsia"/>
          <w:color w:val="333333"/>
          <w:kern w:val="0"/>
          <w:sz w:val="32"/>
          <w:szCs w:val="32"/>
          <w:bdr w:val="none" w:sz="0" w:space="0" w:color="auto" w:frame="1"/>
        </w:rPr>
        <w:t>个煤矿典型执法案例，现予公布。</w:t>
      </w:r>
    </w:p>
    <w:p w14:paraId="1AC095C3" w14:textId="7810685C" w:rsidR="00FF4034" w:rsidRPr="00551A3D" w:rsidRDefault="00551A3D" w:rsidP="00551A3D">
      <w:pPr>
        <w:spacing w:line="560" w:lineRule="exact"/>
        <w:ind w:firstLineChars="200" w:firstLine="640"/>
        <w:rPr>
          <w:rFonts w:ascii="仿宋_GB2312" w:eastAsia="仿宋_GB2312" w:hint="eastAsia"/>
          <w:sz w:val="32"/>
          <w:szCs w:val="32"/>
        </w:rPr>
      </w:pPr>
      <w:r w:rsidRPr="0006613A">
        <w:rPr>
          <w:rFonts w:ascii="楷体" w:eastAsia="楷体" w:hAnsi="楷体" w:hint="eastAsia"/>
          <w:sz w:val="32"/>
          <w:szCs w:val="32"/>
        </w:rPr>
        <w:t>案例1</w:t>
      </w:r>
      <w:r>
        <w:rPr>
          <w:rFonts w:ascii="仿宋_GB2312" w:eastAsia="仿宋_GB2312" w:hint="eastAsia"/>
          <w:sz w:val="32"/>
          <w:szCs w:val="32"/>
        </w:rPr>
        <w:t>：</w:t>
      </w:r>
      <w:r w:rsidR="00FF4034" w:rsidRPr="00551A3D">
        <w:rPr>
          <w:rFonts w:ascii="仿宋_GB2312" w:eastAsia="仿宋_GB2312" w:hint="eastAsia"/>
          <w:sz w:val="32"/>
          <w:szCs w:val="32"/>
        </w:rPr>
        <w:t>2025年9月，咸阳市煤炭工业局远程监控发现</w:t>
      </w:r>
      <w:r>
        <w:rPr>
          <w:rFonts w:ascii="仿宋_GB2312" w:eastAsia="仿宋_GB2312" w:hint="eastAsia"/>
          <w:sz w:val="32"/>
          <w:szCs w:val="32"/>
        </w:rPr>
        <w:t>某煤矿</w:t>
      </w:r>
      <w:r w:rsidR="00FF4034" w:rsidRPr="00551A3D">
        <w:rPr>
          <w:rFonts w:ascii="仿宋_GB2312" w:eastAsia="仿宋_GB2312" w:hint="eastAsia"/>
          <w:sz w:val="32"/>
          <w:szCs w:val="32"/>
        </w:rPr>
        <w:t>102工作面甲烷监测数据波动异常、工业视频角度不正等问题，随后组织人员赴现场核查。经查询系统、调阅视频及入井核查，发现8月28日工作面通风系统调整及传感器位置调整过程中，近六个小时无瓦斯监测数据，且未按规定采用人工监测方式进行补测；同时，工作面回风顺槽监控摄像头长期角度偏移，导致关键区域处于监控盲区。该问题</w:t>
      </w:r>
      <w:r>
        <w:rPr>
          <w:rFonts w:ascii="仿宋_GB2312" w:eastAsia="仿宋_GB2312" w:hint="eastAsia"/>
          <w:sz w:val="32"/>
          <w:szCs w:val="32"/>
        </w:rPr>
        <w:t>由</w:t>
      </w:r>
      <w:r w:rsidR="00FF4034" w:rsidRPr="00551A3D">
        <w:rPr>
          <w:rFonts w:ascii="仿宋_GB2312" w:eastAsia="仿宋_GB2312" w:hint="eastAsia"/>
          <w:sz w:val="32"/>
          <w:szCs w:val="32"/>
        </w:rPr>
        <w:t>管理责任缺失</w:t>
      </w:r>
      <w:r>
        <w:rPr>
          <w:rFonts w:ascii="仿宋_GB2312" w:eastAsia="仿宋_GB2312" w:hint="eastAsia"/>
          <w:sz w:val="32"/>
          <w:szCs w:val="32"/>
        </w:rPr>
        <w:t>导致</w:t>
      </w:r>
      <w:r w:rsidR="00FF4034" w:rsidRPr="00551A3D">
        <w:rPr>
          <w:rFonts w:ascii="仿宋_GB2312" w:eastAsia="仿宋_GB2312" w:hint="eastAsia"/>
          <w:sz w:val="32"/>
          <w:szCs w:val="32"/>
        </w:rPr>
        <w:t>，暴露出该煤矿安全红线意识淡薄，安全管理松懈麻痹，制度执行层层弱化，致使安全监控系统形同虚设，潜在风险</w:t>
      </w:r>
      <w:r>
        <w:rPr>
          <w:rFonts w:ascii="仿宋_GB2312" w:eastAsia="仿宋_GB2312" w:hint="eastAsia"/>
          <w:sz w:val="32"/>
          <w:szCs w:val="32"/>
        </w:rPr>
        <w:t>不</w:t>
      </w:r>
      <w:r w:rsidR="00FF4034" w:rsidRPr="00551A3D">
        <w:rPr>
          <w:rFonts w:ascii="仿宋_GB2312" w:eastAsia="仿宋_GB2312" w:hint="eastAsia"/>
          <w:sz w:val="32"/>
          <w:szCs w:val="32"/>
        </w:rPr>
        <w:t>及时发现并处置。上述行为分别违反《中华人民共和国安全生产法》第三十六条第（一）项及《煤矿安全规程》第四百九十二条第（三）项、《煤矿工业视频安装及联网接入规范（试行）》规定，依据《中华人民共和国安全生产法》第九十九条第（二）项规定对煤矿实施经济处罚。</w:t>
      </w:r>
    </w:p>
    <w:p w14:paraId="554B58A0" w14:textId="6D4D1645" w:rsidR="00FF4034" w:rsidRPr="00551A3D" w:rsidRDefault="00551A3D" w:rsidP="00551A3D">
      <w:pPr>
        <w:spacing w:line="560" w:lineRule="exact"/>
        <w:ind w:firstLineChars="200" w:firstLine="640"/>
        <w:rPr>
          <w:rFonts w:ascii="仿宋_GB2312" w:eastAsia="仿宋_GB2312" w:hint="eastAsia"/>
          <w:sz w:val="32"/>
          <w:szCs w:val="32"/>
        </w:rPr>
      </w:pPr>
      <w:r w:rsidRPr="0006613A">
        <w:rPr>
          <w:rFonts w:ascii="楷体" w:eastAsia="楷体" w:hAnsi="楷体" w:hint="eastAsia"/>
          <w:sz w:val="32"/>
          <w:szCs w:val="32"/>
        </w:rPr>
        <w:t>案例2</w:t>
      </w:r>
      <w:r>
        <w:rPr>
          <w:rFonts w:ascii="仿宋_GB2312" w:eastAsia="仿宋_GB2312" w:hint="eastAsia"/>
          <w:sz w:val="32"/>
          <w:szCs w:val="32"/>
        </w:rPr>
        <w:t>：</w:t>
      </w:r>
      <w:r w:rsidR="00FF4034" w:rsidRPr="00551A3D">
        <w:rPr>
          <w:rFonts w:ascii="仿宋_GB2312" w:eastAsia="仿宋_GB2312" w:hint="eastAsia"/>
          <w:sz w:val="32"/>
          <w:szCs w:val="32"/>
        </w:rPr>
        <w:t>2025年10月，渭南市应急管理局煤矿安全网巡专班经工业视频巡查发现，2025年9月18日0点班</w:t>
      </w:r>
      <w:r>
        <w:rPr>
          <w:rFonts w:ascii="仿宋_GB2312" w:eastAsia="仿宋_GB2312" w:hint="eastAsia"/>
          <w:sz w:val="32"/>
          <w:szCs w:val="32"/>
        </w:rPr>
        <w:t>某</w:t>
      </w:r>
      <w:r w:rsidR="00FF4034" w:rsidRPr="00551A3D">
        <w:rPr>
          <w:rFonts w:ascii="仿宋_GB2312" w:eastAsia="仿宋_GB2312" w:hint="eastAsia"/>
          <w:sz w:val="32"/>
          <w:szCs w:val="32"/>
        </w:rPr>
        <w:t>煤矿1421进风顺槽掘进工作面当班作业人数超过采掘作业地</w:t>
      </w:r>
      <w:r w:rsidR="00FF4034" w:rsidRPr="00551A3D">
        <w:rPr>
          <w:rFonts w:ascii="仿宋_GB2312" w:eastAsia="仿宋_GB2312" w:hint="eastAsia"/>
          <w:sz w:val="32"/>
          <w:szCs w:val="32"/>
        </w:rPr>
        <w:lastRenderedPageBreak/>
        <w:t>点单班作业人数国家有关限员规定20%以上，且组织生产。上述行为违反了《煤矿安全生产条例》第三十六条第一项的规定。依据《煤矿安全生产条例》第六十四条规定责令该矿停产整顿，并对煤矿及相关责任人实施经济处罚。</w:t>
      </w:r>
    </w:p>
    <w:p w14:paraId="5A89F7AA" w14:textId="086E687D" w:rsidR="00FF4034" w:rsidRPr="00551A3D" w:rsidRDefault="00551A3D" w:rsidP="00551A3D">
      <w:pPr>
        <w:spacing w:line="560" w:lineRule="exact"/>
        <w:ind w:firstLineChars="200" w:firstLine="640"/>
        <w:rPr>
          <w:rFonts w:ascii="仿宋_GB2312" w:eastAsia="仿宋_GB2312" w:hint="eastAsia"/>
          <w:sz w:val="32"/>
          <w:szCs w:val="32"/>
        </w:rPr>
      </w:pPr>
      <w:r w:rsidRPr="0006613A">
        <w:rPr>
          <w:rFonts w:ascii="楷体" w:eastAsia="楷体" w:hAnsi="楷体" w:hint="eastAsia"/>
          <w:sz w:val="32"/>
          <w:szCs w:val="32"/>
        </w:rPr>
        <w:t>案例3</w:t>
      </w:r>
      <w:r>
        <w:rPr>
          <w:rFonts w:ascii="仿宋_GB2312" w:eastAsia="仿宋_GB2312" w:hint="eastAsia"/>
          <w:sz w:val="32"/>
          <w:szCs w:val="32"/>
        </w:rPr>
        <w:t>：</w:t>
      </w:r>
      <w:r w:rsidR="00FF4034" w:rsidRPr="00551A3D">
        <w:rPr>
          <w:rFonts w:ascii="仿宋_GB2312" w:eastAsia="仿宋_GB2312" w:hint="eastAsia"/>
          <w:sz w:val="32"/>
          <w:szCs w:val="32"/>
        </w:rPr>
        <w:t>2025年6月，麟游县应急管理局在某煤矿入井检查时，发现井下违规烧焊加固二部皮带机头漏煤斗，现场未有效落实动火点专人监督、瓦斯检查、配备消防器材、撤出回风侧所有人员等安全技术措施，极易引发瓦斯爆炸、火灾等群死群伤事故。该行为反映出该煤矿职工安全生产意识淡薄、现场安全管理混乱、员工安全培训不到位、风险评估与隐患排查治理不到位等问题。上述行为违反了《煤矿安全规程》第二百五十四条第（一）、（二）、（三）、（四）项；《煤矿防灭火细则》第三十九条第（一）、（二）、（三）、（四）、（五）、（七）项规定，依据《安全生产法》第一百零二条对煤矿实施经济处罚。</w:t>
      </w:r>
    </w:p>
    <w:p w14:paraId="2EF572FE" w14:textId="18217188" w:rsidR="002E5507" w:rsidRPr="00551A3D" w:rsidRDefault="00551A3D" w:rsidP="0006613A">
      <w:pPr>
        <w:spacing w:line="560" w:lineRule="exact"/>
        <w:ind w:firstLineChars="200" w:firstLine="640"/>
        <w:rPr>
          <w:rFonts w:ascii="仿宋_GB2312" w:eastAsia="仿宋_GB2312" w:hint="eastAsia"/>
          <w:sz w:val="32"/>
          <w:szCs w:val="32"/>
        </w:rPr>
      </w:pPr>
      <w:r w:rsidRPr="0006613A">
        <w:rPr>
          <w:rFonts w:ascii="楷体" w:eastAsia="楷体" w:hAnsi="楷体" w:hint="eastAsia"/>
          <w:sz w:val="32"/>
          <w:szCs w:val="32"/>
        </w:rPr>
        <w:t>案例4</w:t>
      </w:r>
      <w:r>
        <w:rPr>
          <w:rFonts w:ascii="仿宋_GB2312" w:eastAsia="仿宋_GB2312" w:hint="eastAsia"/>
          <w:sz w:val="32"/>
          <w:szCs w:val="32"/>
        </w:rPr>
        <w:t>：</w:t>
      </w:r>
      <w:r w:rsidR="00FF4034" w:rsidRPr="00551A3D">
        <w:rPr>
          <w:rFonts w:ascii="仿宋_GB2312" w:eastAsia="仿宋_GB2312" w:hint="eastAsia"/>
          <w:sz w:val="32"/>
          <w:szCs w:val="32"/>
        </w:rPr>
        <w:t>2025年8月，延安市应急管理局对</w:t>
      </w:r>
      <w:r w:rsidR="0006613A">
        <w:rPr>
          <w:rFonts w:ascii="仿宋_GB2312" w:eastAsia="仿宋_GB2312" w:hint="eastAsia"/>
          <w:sz w:val="32"/>
          <w:szCs w:val="32"/>
        </w:rPr>
        <w:t>某煤矿</w:t>
      </w:r>
      <w:r w:rsidR="00FF4034" w:rsidRPr="00551A3D">
        <w:rPr>
          <w:rFonts w:ascii="仿宋_GB2312" w:eastAsia="仿宋_GB2312" w:hint="eastAsia"/>
          <w:sz w:val="32"/>
          <w:szCs w:val="32"/>
        </w:rPr>
        <w:t>开展监管执法时，现场检查发现该矿50201运输顺槽设备列车处，一台移变高压侧防爆配电装置备用的接线嘴未用与线嘴法兰厚度与直径相符的钢垫板封堵压紧，属于失爆。该行为反映出煤矿在机电设备管理方面存在漏洞。上述行为违反了《GB 51145-2015 煤矿电气设备安装工程施工与验收规范》11.1.9.8条和《煤矿重大事故隐患判定标准》（应急管理部4号令）第十三条第三项规定。依据《中华人民共和国安全生产法》第九十九条第七项规定责令煤矿立即停止使用该台</w:t>
      </w:r>
      <w:r w:rsidR="00FF4034" w:rsidRPr="00551A3D">
        <w:rPr>
          <w:rFonts w:ascii="仿宋_GB2312" w:eastAsia="仿宋_GB2312" w:hint="eastAsia"/>
          <w:sz w:val="32"/>
          <w:szCs w:val="32"/>
        </w:rPr>
        <w:lastRenderedPageBreak/>
        <w:t>设备，并对煤矿实施经济处罚。</w:t>
      </w:r>
    </w:p>
    <w:p w14:paraId="296C9967" w14:textId="26E567BE" w:rsidR="002E5507" w:rsidRDefault="0006613A" w:rsidP="00551A3D">
      <w:pPr>
        <w:spacing w:line="560" w:lineRule="exact"/>
        <w:ind w:firstLineChars="200" w:firstLine="640"/>
        <w:rPr>
          <w:rFonts w:ascii="仿宋_GB2312" w:eastAsia="仿宋_GB2312" w:hint="eastAsia"/>
          <w:sz w:val="32"/>
          <w:szCs w:val="32"/>
        </w:rPr>
      </w:pPr>
      <w:r w:rsidRPr="0006613A">
        <w:rPr>
          <w:rFonts w:ascii="楷体" w:eastAsia="楷体" w:hAnsi="楷体" w:hint="eastAsia"/>
          <w:sz w:val="32"/>
          <w:szCs w:val="32"/>
        </w:rPr>
        <w:t>案例5</w:t>
      </w:r>
      <w:r>
        <w:rPr>
          <w:rFonts w:ascii="仿宋_GB2312" w:eastAsia="仿宋_GB2312" w:hint="eastAsia"/>
          <w:sz w:val="32"/>
          <w:szCs w:val="32"/>
        </w:rPr>
        <w:t>：</w:t>
      </w:r>
      <w:r w:rsidR="002E5507" w:rsidRPr="00551A3D">
        <w:rPr>
          <w:rFonts w:ascii="仿宋_GB2312" w:eastAsia="仿宋_GB2312" w:hint="eastAsia"/>
          <w:sz w:val="32"/>
          <w:szCs w:val="32"/>
        </w:rPr>
        <w:t>2025年8月，</w:t>
      </w:r>
      <w:r>
        <w:rPr>
          <w:rFonts w:ascii="仿宋_GB2312" w:eastAsia="仿宋_GB2312" w:hint="eastAsia"/>
          <w:sz w:val="32"/>
          <w:szCs w:val="32"/>
        </w:rPr>
        <w:t>某煤矿</w:t>
      </w:r>
      <w:r w:rsidR="002E5507" w:rsidRPr="00551A3D">
        <w:rPr>
          <w:rFonts w:ascii="仿宋_GB2312" w:eastAsia="仿宋_GB2312" w:hint="eastAsia"/>
          <w:sz w:val="32"/>
          <w:szCs w:val="32"/>
        </w:rPr>
        <w:t>1307回顺二段掘进工作面回风和定向钻场甲烷传感器发生超限报警，铜川市能源局现场对该起超限报警情况进行现场核查时发现：1.煤矿未监督第三方技术服务公司浙江中宇实业发展有限公司按照《1307工作面定向钻孔工程施工方案及安全技术措施》中孔口防喷设备安装要求进行施工；2.煤矿对第三方技术服务公司浙江中宇实业发展有限公司安全生产培训和考核情况未如实记录：第三方技术服务公司浙江中宇实业发展有限公司钻机操作员乔海通7月25日到矿上班，但培训记录显示乔海通6月29日-7月7日全程参加培训并有签字和考试记录。该行为反映出煤矿对第三方技术服务公司安全监督管理不到位，对第三方技术服务公司的从业人员安全生产教育和培训工作未落实。上述行为分别违反了《中华人民共和国安全生产法》第五十七条、《煤矿安全规程》第八条第三款；《中华人民共和国安全生产法》第二十八条第四款的规定，铜川市能源局按照相关规定对煤矿及相关责任人实施了经济处罚，并约谈其上级公司和下达风险提示函。</w:t>
      </w:r>
    </w:p>
    <w:p w14:paraId="73819EC0" w14:textId="1E565D42" w:rsidR="00727D08" w:rsidRPr="00727D08" w:rsidRDefault="00727D08" w:rsidP="00727D08">
      <w:pPr>
        <w:spacing w:line="560" w:lineRule="exact"/>
        <w:ind w:firstLineChars="200" w:firstLine="640"/>
        <w:rPr>
          <w:rFonts w:hint="eastAsia"/>
        </w:rPr>
      </w:pPr>
      <w:r w:rsidRPr="00727D08">
        <w:rPr>
          <w:rFonts w:ascii="楷体" w:eastAsia="楷体" w:hAnsi="楷体" w:hint="eastAsia"/>
          <w:sz w:val="32"/>
          <w:szCs w:val="32"/>
        </w:rPr>
        <w:t>案例6</w:t>
      </w:r>
      <w:r w:rsidRPr="00727D08">
        <w:rPr>
          <w:rFonts w:ascii="仿宋_GB2312" w:eastAsia="仿宋_GB2312" w:hint="eastAsia"/>
          <w:sz w:val="32"/>
          <w:szCs w:val="32"/>
        </w:rPr>
        <w:t>：2025年6月，榆林市能源局对某煤矿开展监管执法时，发现该矿3-1煤北翼主运大巷开口50米处联巷风门未设置机械联锁装置，断电、断气时存在两道风门同时打开的风险。同时，风门上设置的行人小门未联锁，小门同时打开易造成风流紊乱。该行为反映出煤矿对矿井通风系统及通风设施可靠性维护意识不强、安全管理存在漏洞。上述行</w:t>
      </w:r>
      <w:r w:rsidRPr="00727D08">
        <w:rPr>
          <w:rFonts w:ascii="仿宋_GB2312" w:eastAsia="仿宋_GB2312" w:hint="eastAsia"/>
          <w:sz w:val="32"/>
          <w:szCs w:val="32"/>
        </w:rPr>
        <w:lastRenderedPageBreak/>
        <w:t>为违反了《煤矿安全规程》第一百五十五条第一款、《中华人民共和国安全生产法》第四十一条第二款</w:t>
      </w:r>
      <w:r w:rsidR="006A2DA2">
        <w:rPr>
          <w:rFonts w:ascii="仿宋_GB2312" w:eastAsia="仿宋_GB2312" w:hint="eastAsia"/>
          <w:sz w:val="32"/>
          <w:szCs w:val="32"/>
        </w:rPr>
        <w:t>的</w:t>
      </w:r>
      <w:r w:rsidRPr="00727D08">
        <w:rPr>
          <w:rFonts w:ascii="仿宋_GB2312" w:eastAsia="仿宋_GB2312" w:hint="eastAsia"/>
          <w:sz w:val="32"/>
          <w:szCs w:val="32"/>
        </w:rPr>
        <w:t>规定，依据《中华人民共和国安全生产法》第一百零二条，榆林市能源局对该矿实施相应经济处罚。</w:t>
      </w:r>
    </w:p>
    <w:sectPr w:rsidR="00727D08" w:rsidRPr="00727D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6525" w14:textId="77777777" w:rsidR="000C620B" w:rsidRDefault="000C620B" w:rsidP="002E5507">
      <w:pPr>
        <w:rPr>
          <w:rFonts w:hint="eastAsia"/>
        </w:rPr>
      </w:pPr>
      <w:r>
        <w:separator/>
      </w:r>
    </w:p>
  </w:endnote>
  <w:endnote w:type="continuationSeparator" w:id="0">
    <w:p w14:paraId="41BAB4EB" w14:textId="77777777" w:rsidR="000C620B" w:rsidRDefault="000C620B" w:rsidP="002E55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EB03" w14:textId="77777777" w:rsidR="000C620B" w:rsidRDefault="000C620B" w:rsidP="002E5507">
      <w:pPr>
        <w:rPr>
          <w:rFonts w:hint="eastAsia"/>
        </w:rPr>
      </w:pPr>
      <w:r>
        <w:separator/>
      </w:r>
    </w:p>
  </w:footnote>
  <w:footnote w:type="continuationSeparator" w:id="0">
    <w:p w14:paraId="2E79854B" w14:textId="77777777" w:rsidR="000C620B" w:rsidRDefault="000C620B" w:rsidP="002E550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3B"/>
    <w:rsid w:val="0006613A"/>
    <w:rsid w:val="000915F2"/>
    <w:rsid w:val="000C620B"/>
    <w:rsid w:val="0010583B"/>
    <w:rsid w:val="00292480"/>
    <w:rsid w:val="002E5507"/>
    <w:rsid w:val="0038684E"/>
    <w:rsid w:val="00551A3D"/>
    <w:rsid w:val="006A2DA2"/>
    <w:rsid w:val="00727D08"/>
    <w:rsid w:val="00A55110"/>
    <w:rsid w:val="00A657F5"/>
    <w:rsid w:val="00B76BBB"/>
    <w:rsid w:val="00BE59A9"/>
    <w:rsid w:val="00D20B49"/>
    <w:rsid w:val="00DE627A"/>
    <w:rsid w:val="00EA1A9D"/>
    <w:rsid w:val="00FF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1E353"/>
  <w15:chartTrackingRefBased/>
  <w15:docId w15:val="{7DA63A51-8BD3-486E-AB6B-1269C631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583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0583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0583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0583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0583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0583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0583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83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0583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83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0583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0583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0583B"/>
    <w:rPr>
      <w:rFonts w:cstheme="majorBidi"/>
      <w:color w:val="0F4761" w:themeColor="accent1" w:themeShade="BF"/>
      <w:sz w:val="28"/>
      <w:szCs w:val="28"/>
    </w:rPr>
  </w:style>
  <w:style w:type="character" w:customStyle="1" w:styleId="50">
    <w:name w:val="标题 5 字符"/>
    <w:basedOn w:val="a0"/>
    <w:link w:val="5"/>
    <w:uiPriority w:val="9"/>
    <w:semiHidden/>
    <w:rsid w:val="0010583B"/>
    <w:rPr>
      <w:rFonts w:cstheme="majorBidi"/>
      <w:color w:val="0F4761" w:themeColor="accent1" w:themeShade="BF"/>
      <w:sz w:val="24"/>
      <w:szCs w:val="24"/>
    </w:rPr>
  </w:style>
  <w:style w:type="character" w:customStyle="1" w:styleId="60">
    <w:name w:val="标题 6 字符"/>
    <w:basedOn w:val="a0"/>
    <w:link w:val="6"/>
    <w:uiPriority w:val="9"/>
    <w:semiHidden/>
    <w:rsid w:val="0010583B"/>
    <w:rPr>
      <w:rFonts w:cstheme="majorBidi"/>
      <w:b/>
      <w:bCs/>
      <w:color w:val="0F4761" w:themeColor="accent1" w:themeShade="BF"/>
    </w:rPr>
  </w:style>
  <w:style w:type="character" w:customStyle="1" w:styleId="70">
    <w:name w:val="标题 7 字符"/>
    <w:basedOn w:val="a0"/>
    <w:link w:val="7"/>
    <w:uiPriority w:val="9"/>
    <w:semiHidden/>
    <w:rsid w:val="0010583B"/>
    <w:rPr>
      <w:rFonts w:cstheme="majorBidi"/>
      <w:b/>
      <w:bCs/>
      <w:color w:val="595959" w:themeColor="text1" w:themeTint="A6"/>
    </w:rPr>
  </w:style>
  <w:style w:type="character" w:customStyle="1" w:styleId="80">
    <w:name w:val="标题 8 字符"/>
    <w:basedOn w:val="a0"/>
    <w:link w:val="8"/>
    <w:uiPriority w:val="9"/>
    <w:semiHidden/>
    <w:rsid w:val="0010583B"/>
    <w:rPr>
      <w:rFonts w:cstheme="majorBidi"/>
      <w:color w:val="595959" w:themeColor="text1" w:themeTint="A6"/>
    </w:rPr>
  </w:style>
  <w:style w:type="character" w:customStyle="1" w:styleId="90">
    <w:name w:val="标题 9 字符"/>
    <w:basedOn w:val="a0"/>
    <w:link w:val="9"/>
    <w:uiPriority w:val="9"/>
    <w:semiHidden/>
    <w:rsid w:val="0010583B"/>
    <w:rPr>
      <w:rFonts w:eastAsiaTheme="majorEastAsia" w:cstheme="majorBidi"/>
      <w:color w:val="595959" w:themeColor="text1" w:themeTint="A6"/>
    </w:rPr>
  </w:style>
  <w:style w:type="paragraph" w:styleId="a3">
    <w:name w:val="Title"/>
    <w:basedOn w:val="a"/>
    <w:next w:val="a"/>
    <w:link w:val="a4"/>
    <w:uiPriority w:val="10"/>
    <w:qFormat/>
    <w:rsid w:val="001058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8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8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8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83B"/>
    <w:pPr>
      <w:spacing w:before="160" w:after="160"/>
      <w:jc w:val="center"/>
    </w:pPr>
    <w:rPr>
      <w:i/>
      <w:iCs/>
      <w:color w:val="404040" w:themeColor="text1" w:themeTint="BF"/>
    </w:rPr>
  </w:style>
  <w:style w:type="character" w:customStyle="1" w:styleId="a8">
    <w:name w:val="引用 字符"/>
    <w:basedOn w:val="a0"/>
    <w:link w:val="a7"/>
    <w:uiPriority w:val="29"/>
    <w:rsid w:val="0010583B"/>
    <w:rPr>
      <w:i/>
      <w:iCs/>
      <w:color w:val="404040" w:themeColor="text1" w:themeTint="BF"/>
    </w:rPr>
  </w:style>
  <w:style w:type="paragraph" w:styleId="a9">
    <w:name w:val="List Paragraph"/>
    <w:basedOn w:val="a"/>
    <w:uiPriority w:val="34"/>
    <w:qFormat/>
    <w:rsid w:val="0010583B"/>
    <w:pPr>
      <w:ind w:left="720"/>
      <w:contextualSpacing/>
    </w:pPr>
  </w:style>
  <w:style w:type="character" w:styleId="aa">
    <w:name w:val="Intense Emphasis"/>
    <w:basedOn w:val="a0"/>
    <w:uiPriority w:val="21"/>
    <w:qFormat/>
    <w:rsid w:val="0010583B"/>
    <w:rPr>
      <w:i/>
      <w:iCs/>
      <w:color w:val="0F4761" w:themeColor="accent1" w:themeShade="BF"/>
    </w:rPr>
  </w:style>
  <w:style w:type="paragraph" w:styleId="ab">
    <w:name w:val="Intense Quote"/>
    <w:basedOn w:val="a"/>
    <w:next w:val="a"/>
    <w:link w:val="ac"/>
    <w:uiPriority w:val="30"/>
    <w:qFormat/>
    <w:rsid w:val="00105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0583B"/>
    <w:rPr>
      <w:i/>
      <w:iCs/>
      <w:color w:val="0F4761" w:themeColor="accent1" w:themeShade="BF"/>
    </w:rPr>
  </w:style>
  <w:style w:type="character" w:styleId="ad">
    <w:name w:val="Intense Reference"/>
    <w:basedOn w:val="a0"/>
    <w:uiPriority w:val="32"/>
    <w:qFormat/>
    <w:rsid w:val="0010583B"/>
    <w:rPr>
      <w:b/>
      <w:bCs/>
      <w:smallCaps/>
      <w:color w:val="0F4761" w:themeColor="accent1" w:themeShade="BF"/>
      <w:spacing w:val="5"/>
    </w:rPr>
  </w:style>
  <w:style w:type="paragraph" w:styleId="ae">
    <w:name w:val="header"/>
    <w:basedOn w:val="a"/>
    <w:link w:val="af"/>
    <w:uiPriority w:val="99"/>
    <w:unhideWhenUsed/>
    <w:rsid w:val="002E5507"/>
    <w:pPr>
      <w:tabs>
        <w:tab w:val="center" w:pos="4153"/>
        <w:tab w:val="right" w:pos="8306"/>
      </w:tabs>
      <w:snapToGrid w:val="0"/>
      <w:jc w:val="center"/>
    </w:pPr>
    <w:rPr>
      <w:sz w:val="18"/>
      <w:szCs w:val="18"/>
    </w:rPr>
  </w:style>
  <w:style w:type="character" w:customStyle="1" w:styleId="af">
    <w:name w:val="页眉 字符"/>
    <w:basedOn w:val="a0"/>
    <w:link w:val="ae"/>
    <w:uiPriority w:val="99"/>
    <w:rsid w:val="002E5507"/>
    <w:rPr>
      <w:sz w:val="18"/>
      <w:szCs w:val="18"/>
    </w:rPr>
  </w:style>
  <w:style w:type="paragraph" w:styleId="af0">
    <w:name w:val="footer"/>
    <w:basedOn w:val="a"/>
    <w:link w:val="af1"/>
    <w:uiPriority w:val="99"/>
    <w:unhideWhenUsed/>
    <w:rsid w:val="002E5507"/>
    <w:pPr>
      <w:tabs>
        <w:tab w:val="center" w:pos="4153"/>
        <w:tab w:val="right" w:pos="8306"/>
      </w:tabs>
      <w:snapToGrid w:val="0"/>
      <w:jc w:val="left"/>
    </w:pPr>
    <w:rPr>
      <w:sz w:val="18"/>
      <w:szCs w:val="18"/>
    </w:rPr>
  </w:style>
  <w:style w:type="character" w:customStyle="1" w:styleId="af1">
    <w:name w:val="页脚 字符"/>
    <w:basedOn w:val="a0"/>
    <w:link w:val="af0"/>
    <w:uiPriority w:val="99"/>
    <w:rsid w:val="002E55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Tong</dc:creator>
  <cp:keywords/>
  <dc:description/>
  <cp:lastModifiedBy>Arthur Tong</cp:lastModifiedBy>
  <cp:revision>7</cp:revision>
  <dcterms:created xsi:type="dcterms:W3CDTF">2025-12-01T07:51:00Z</dcterms:created>
  <dcterms:modified xsi:type="dcterms:W3CDTF">2025-12-04T08:41:00Z</dcterms:modified>
</cp:coreProperties>
</file>